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434" w:rsidRDefault="00974434" w:rsidP="00911E21">
      <w:pPr>
        <w:pStyle w:val="Default"/>
        <w:spacing w:line="241" w:lineRule="atLeast"/>
        <w:ind w:left="360"/>
        <w:jc w:val="center"/>
        <w:rPr>
          <w:rFonts w:ascii="Arial" w:hAnsi="Arial" w:cs="Arial"/>
          <w:b/>
          <w:bCs/>
          <w:sz w:val="32"/>
          <w:szCs w:val="32"/>
        </w:rPr>
      </w:pPr>
    </w:p>
    <w:p w:rsidR="00974434" w:rsidRDefault="00974434" w:rsidP="00911E21">
      <w:pPr>
        <w:pStyle w:val="Default"/>
        <w:spacing w:line="241" w:lineRule="atLeast"/>
        <w:ind w:left="360"/>
        <w:jc w:val="center"/>
        <w:rPr>
          <w:rFonts w:ascii="Arial" w:hAnsi="Arial" w:cs="Arial"/>
          <w:b/>
          <w:bCs/>
          <w:sz w:val="32"/>
          <w:szCs w:val="32"/>
        </w:rPr>
      </w:pPr>
      <w:r>
        <w:rPr>
          <w:rFonts w:ascii="Arial" w:hAnsi="Arial" w:cs="Arial"/>
          <w:b/>
          <w:bCs/>
          <w:sz w:val="32"/>
          <w:szCs w:val="32"/>
        </w:rPr>
        <w:t>Provider Manual</w:t>
      </w:r>
    </w:p>
    <w:p w:rsidR="00974434" w:rsidRDefault="00974434" w:rsidP="00911E21">
      <w:pPr>
        <w:pStyle w:val="Default"/>
        <w:spacing w:line="241" w:lineRule="atLeast"/>
        <w:ind w:left="360"/>
        <w:jc w:val="center"/>
        <w:rPr>
          <w:rFonts w:ascii="Arial" w:hAnsi="Arial" w:cs="Arial"/>
          <w:b/>
          <w:bCs/>
          <w:sz w:val="32"/>
          <w:szCs w:val="32"/>
        </w:rPr>
      </w:pPr>
    </w:p>
    <w:p w:rsidR="00911E21" w:rsidRPr="001B1EC2" w:rsidRDefault="00911E21" w:rsidP="00392F5A">
      <w:pPr>
        <w:pStyle w:val="Pa5"/>
        <w:rPr>
          <w:rFonts w:ascii="Arial" w:hAnsi="Arial" w:cs="Arial"/>
          <w:b/>
          <w:color w:val="000000"/>
        </w:rPr>
      </w:pPr>
    </w:p>
    <w:sdt>
      <w:sdtPr>
        <w:rPr>
          <w:rFonts w:asciiTheme="minorHAnsi" w:eastAsiaTheme="minorHAnsi" w:hAnsiTheme="minorHAnsi" w:cstheme="minorBidi"/>
          <w:color w:val="auto"/>
          <w:sz w:val="22"/>
          <w:szCs w:val="22"/>
        </w:rPr>
        <w:id w:val="-1966645007"/>
        <w:docPartObj>
          <w:docPartGallery w:val="Table of Contents"/>
          <w:docPartUnique/>
        </w:docPartObj>
      </w:sdtPr>
      <w:sdtEndPr>
        <w:rPr>
          <w:b/>
          <w:bCs/>
          <w:noProof/>
        </w:rPr>
      </w:sdtEndPr>
      <w:sdtContent>
        <w:p w:rsidR="007E6EE0" w:rsidRDefault="007E6EE0">
          <w:pPr>
            <w:pStyle w:val="TOCHeading"/>
          </w:pPr>
          <w:r>
            <w:t>Table of Contents</w:t>
          </w:r>
        </w:p>
        <w:bookmarkStart w:id="0" w:name="_GoBack"/>
        <w:bookmarkEnd w:id="0"/>
        <w:p w:rsidR="00A86B83" w:rsidRDefault="00145356">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0792050" w:history="1">
            <w:r w:rsidR="00A86B83" w:rsidRPr="007905F7">
              <w:rPr>
                <w:rStyle w:val="Hyperlink"/>
                <w:noProof/>
              </w:rPr>
              <w:t>Provider Relations</w:t>
            </w:r>
            <w:r w:rsidR="00A86B83">
              <w:rPr>
                <w:noProof/>
                <w:webHidden/>
              </w:rPr>
              <w:tab/>
            </w:r>
            <w:r w:rsidR="00A86B83">
              <w:rPr>
                <w:noProof/>
                <w:webHidden/>
              </w:rPr>
              <w:fldChar w:fldCharType="begin"/>
            </w:r>
            <w:r w:rsidR="00A86B83">
              <w:rPr>
                <w:noProof/>
                <w:webHidden/>
              </w:rPr>
              <w:instrText xml:space="preserve"> PAGEREF _Toc10792050 \h </w:instrText>
            </w:r>
            <w:r w:rsidR="00A86B83">
              <w:rPr>
                <w:noProof/>
                <w:webHidden/>
              </w:rPr>
            </w:r>
            <w:r w:rsidR="00A86B83">
              <w:rPr>
                <w:noProof/>
                <w:webHidden/>
              </w:rPr>
              <w:fldChar w:fldCharType="separate"/>
            </w:r>
            <w:r w:rsidR="00A86B83">
              <w:rPr>
                <w:noProof/>
                <w:webHidden/>
              </w:rPr>
              <w:t>3</w:t>
            </w:r>
            <w:r w:rsidR="00A86B83">
              <w:rPr>
                <w:noProof/>
                <w:webHidden/>
              </w:rPr>
              <w:fldChar w:fldCharType="end"/>
            </w:r>
          </w:hyperlink>
        </w:p>
        <w:p w:rsidR="00A86B83" w:rsidRDefault="00A86B83">
          <w:pPr>
            <w:pStyle w:val="TOC1"/>
            <w:tabs>
              <w:tab w:val="right" w:leader="dot" w:pos="9350"/>
            </w:tabs>
            <w:rPr>
              <w:rFonts w:eastAsiaTheme="minorEastAsia"/>
              <w:noProof/>
            </w:rPr>
          </w:pPr>
          <w:hyperlink w:anchor="_Toc10792051" w:history="1">
            <w:r w:rsidRPr="007905F7">
              <w:rPr>
                <w:rStyle w:val="Hyperlink"/>
                <w:noProof/>
              </w:rPr>
              <w:t>Participating Provider Responsibilities</w:t>
            </w:r>
            <w:r>
              <w:rPr>
                <w:noProof/>
                <w:webHidden/>
              </w:rPr>
              <w:tab/>
            </w:r>
            <w:r>
              <w:rPr>
                <w:noProof/>
                <w:webHidden/>
              </w:rPr>
              <w:fldChar w:fldCharType="begin"/>
            </w:r>
            <w:r>
              <w:rPr>
                <w:noProof/>
                <w:webHidden/>
              </w:rPr>
              <w:instrText xml:space="preserve"> PAGEREF _Toc10792051 \h </w:instrText>
            </w:r>
            <w:r>
              <w:rPr>
                <w:noProof/>
                <w:webHidden/>
              </w:rPr>
            </w:r>
            <w:r>
              <w:rPr>
                <w:noProof/>
                <w:webHidden/>
              </w:rPr>
              <w:fldChar w:fldCharType="separate"/>
            </w:r>
            <w:r>
              <w:rPr>
                <w:noProof/>
                <w:webHidden/>
              </w:rPr>
              <w:t>3</w:t>
            </w:r>
            <w:r>
              <w:rPr>
                <w:noProof/>
                <w:webHidden/>
              </w:rPr>
              <w:fldChar w:fldCharType="end"/>
            </w:r>
          </w:hyperlink>
        </w:p>
        <w:p w:rsidR="00A86B83" w:rsidRDefault="00A86B83">
          <w:pPr>
            <w:pStyle w:val="TOC1"/>
            <w:tabs>
              <w:tab w:val="right" w:leader="dot" w:pos="9350"/>
            </w:tabs>
            <w:rPr>
              <w:rFonts w:eastAsiaTheme="minorEastAsia"/>
              <w:noProof/>
            </w:rPr>
          </w:pPr>
          <w:hyperlink w:anchor="_Toc10792052" w:history="1">
            <w:r w:rsidRPr="007905F7">
              <w:rPr>
                <w:rStyle w:val="Hyperlink"/>
                <w:noProof/>
              </w:rPr>
              <w:t>Verifying Eligibility</w:t>
            </w:r>
            <w:r>
              <w:rPr>
                <w:noProof/>
                <w:webHidden/>
              </w:rPr>
              <w:tab/>
            </w:r>
            <w:r>
              <w:rPr>
                <w:noProof/>
                <w:webHidden/>
              </w:rPr>
              <w:fldChar w:fldCharType="begin"/>
            </w:r>
            <w:r>
              <w:rPr>
                <w:noProof/>
                <w:webHidden/>
              </w:rPr>
              <w:instrText xml:space="preserve"> PAGEREF _Toc10792052 \h </w:instrText>
            </w:r>
            <w:r>
              <w:rPr>
                <w:noProof/>
                <w:webHidden/>
              </w:rPr>
            </w:r>
            <w:r>
              <w:rPr>
                <w:noProof/>
                <w:webHidden/>
              </w:rPr>
              <w:fldChar w:fldCharType="separate"/>
            </w:r>
            <w:r>
              <w:rPr>
                <w:noProof/>
                <w:webHidden/>
              </w:rPr>
              <w:t>5</w:t>
            </w:r>
            <w:r>
              <w:rPr>
                <w:noProof/>
                <w:webHidden/>
              </w:rPr>
              <w:fldChar w:fldCharType="end"/>
            </w:r>
          </w:hyperlink>
        </w:p>
        <w:p w:rsidR="00A86B83" w:rsidRDefault="00A86B83">
          <w:pPr>
            <w:pStyle w:val="TOC1"/>
            <w:tabs>
              <w:tab w:val="right" w:leader="dot" w:pos="9350"/>
            </w:tabs>
            <w:rPr>
              <w:rFonts w:eastAsiaTheme="minorEastAsia"/>
              <w:noProof/>
            </w:rPr>
          </w:pPr>
          <w:hyperlink w:anchor="_Toc10792053" w:history="1">
            <w:r w:rsidRPr="007905F7">
              <w:rPr>
                <w:rStyle w:val="Hyperlink"/>
                <w:noProof/>
              </w:rPr>
              <w:t>Verifying Eligibility with CMS</w:t>
            </w:r>
            <w:r>
              <w:rPr>
                <w:noProof/>
                <w:webHidden/>
              </w:rPr>
              <w:tab/>
            </w:r>
            <w:r>
              <w:rPr>
                <w:noProof/>
                <w:webHidden/>
              </w:rPr>
              <w:fldChar w:fldCharType="begin"/>
            </w:r>
            <w:r>
              <w:rPr>
                <w:noProof/>
                <w:webHidden/>
              </w:rPr>
              <w:instrText xml:space="preserve"> PAGEREF _Toc10792053 \h </w:instrText>
            </w:r>
            <w:r>
              <w:rPr>
                <w:noProof/>
                <w:webHidden/>
              </w:rPr>
            </w:r>
            <w:r>
              <w:rPr>
                <w:noProof/>
                <w:webHidden/>
              </w:rPr>
              <w:fldChar w:fldCharType="separate"/>
            </w:r>
            <w:r>
              <w:rPr>
                <w:noProof/>
                <w:webHidden/>
              </w:rPr>
              <w:t>5</w:t>
            </w:r>
            <w:r>
              <w:rPr>
                <w:noProof/>
                <w:webHidden/>
              </w:rPr>
              <w:fldChar w:fldCharType="end"/>
            </w:r>
          </w:hyperlink>
        </w:p>
        <w:p w:rsidR="00A86B83" w:rsidRDefault="00A86B83">
          <w:pPr>
            <w:pStyle w:val="TOC1"/>
            <w:tabs>
              <w:tab w:val="right" w:leader="dot" w:pos="9350"/>
            </w:tabs>
            <w:rPr>
              <w:rFonts w:eastAsiaTheme="minorEastAsia"/>
              <w:noProof/>
            </w:rPr>
          </w:pPr>
          <w:hyperlink w:anchor="_Toc10792054" w:history="1">
            <w:r w:rsidRPr="007905F7">
              <w:rPr>
                <w:rStyle w:val="Hyperlink"/>
                <w:noProof/>
              </w:rPr>
              <w:t>Copays and Coinsurance</w:t>
            </w:r>
            <w:r>
              <w:rPr>
                <w:noProof/>
                <w:webHidden/>
              </w:rPr>
              <w:tab/>
            </w:r>
            <w:r>
              <w:rPr>
                <w:noProof/>
                <w:webHidden/>
              </w:rPr>
              <w:fldChar w:fldCharType="begin"/>
            </w:r>
            <w:r>
              <w:rPr>
                <w:noProof/>
                <w:webHidden/>
              </w:rPr>
              <w:instrText xml:space="preserve"> PAGEREF _Toc10792054 \h </w:instrText>
            </w:r>
            <w:r>
              <w:rPr>
                <w:noProof/>
                <w:webHidden/>
              </w:rPr>
            </w:r>
            <w:r>
              <w:rPr>
                <w:noProof/>
                <w:webHidden/>
              </w:rPr>
              <w:fldChar w:fldCharType="separate"/>
            </w:r>
            <w:r>
              <w:rPr>
                <w:noProof/>
                <w:webHidden/>
              </w:rPr>
              <w:t>5</w:t>
            </w:r>
            <w:r>
              <w:rPr>
                <w:noProof/>
                <w:webHidden/>
              </w:rPr>
              <w:fldChar w:fldCharType="end"/>
            </w:r>
          </w:hyperlink>
        </w:p>
        <w:p w:rsidR="00A86B83" w:rsidRDefault="00A86B83">
          <w:pPr>
            <w:pStyle w:val="TOC1"/>
            <w:tabs>
              <w:tab w:val="right" w:leader="dot" w:pos="9350"/>
            </w:tabs>
            <w:rPr>
              <w:rFonts w:eastAsiaTheme="minorEastAsia"/>
              <w:noProof/>
            </w:rPr>
          </w:pPr>
          <w:hyperlink w:anchor="_Toc10792055" w:history="1">
            <w:r w:rsidRPr="007905F7">
              <w:rPr>
                <w:rStyle w:val="Hyperlink"/>
                <w:noProof/>
              </w:rPr>
              <w:t>Non-Covered Services</w:t>
            </w:r>
            <w:r>
              <w:rPr>
                <w:noProof/>
                <w:webHidden/>
              </w:rPr>
              <w:tab/>
            </w:r>
            <w:r>
              <w:rPr>
                <w:noProof/>
                <w:webHidden/>
              </w:rPr>
              <w:fldChar w:fldCharType="begin"/>
            </w:r>
            <w:r>
              <w:rPr>
                <w:noProof/>
                <w:webHidden/>
              </w:rPr>
              <w:instrText xml:space="preserve"> PAGEREF _Toc10792055 \h </w:instrText>
            </w:r>
            <w:r>
              <w:rPr>
                <w:noProof/>
                <w:webHidden/>
              </w:rPr>
            </w:r>
            <w:r>
              <w:rPr>
                <w:noProof/>
                <w:webHidden/>
              </w:rPr>
              <w:fldChar w:fldCharType="separate"/>
            </w:r>
            <w:r>
              <w:rPr>
                <w:noProof/>
                <w:webHidden/>
              </w:rPr>
              <w:t>5</w:t>
            </w:r>
            <w:r>
              <w:rPr>
                <w:noProof/>
                <w:webHidden/>
              </w:rPr>
              <w:fldChar w:fldCharType="end"/>
            </w:r>
          </w:hyperlink>
        </w:p>
        <w:p w:rsidR="00A86B83" w:rsidRDefault="00A86B83">
          <w:pPr>
            <w:pStyle w:val="TOC1"/>
            <w:tabs>
              <w:tab w:val="right" w:leader="dot" w:pos="9350"/>
            </w:tabs>
            <w:rPr>
              <w:rFonts w:eastAsiaTheme="minorEastAsia"/>
              <w:noProof/>
            </w:rPr>
          </w:pPr>
          <w:hyperlink w:anchor="_Toc10792056" w:history="1">
            <w:r w:rsidRPr="007905F7">
              <w:rPr>
                <w:rStyle w:val="Hyperlink"/>
                <w:noProof/>
              </w:rPr>
              <w:t>Medicaid</w:t>
            </w:r>
            <w:r>
              <w:rPr>
                <w:noProof/>
                <w:webHidden/>
              </w:rPr>
              <w:tab/>
            </w:r>
            <w:r>
              <w:rPr>
                <w:noProof/>
                <w:webHidden/>
              </w:rPr>
              <w:fldChar w:fldCharType="begin"/>
            </w:r>
            <w:r>
              <w:rPr>
                <w:noProof/>
                <w:webHidden/>
              </w:rPr>
              <w:instrText xml:space="preserve"> PAGEREF _Toc10792056 \h </w:instrText>
            </w:r>
            <w:r>
              <w:rPr>
                <w:noProof/>
                <w:webHidden/>
              </w:rPr>
            </w:r>
            <w:r>
              <w:rPr>
                <w:noProof/>
                <w:webHidden/>
              </w:rPr>
              <w:fldChar w:fldCharType="separate"/>
            </w:r>
            <w:r>
              <w:rPr>
                <w:noProof/>
                <w:webHidden/>
              </w:rPr>
              <w:t>6</w:t>
            </w:r>
            <w:r>
              <w:rPr>
                <w:noProof/>
                <w:webHidden/>
              </w:rPr>
              <w:fldChar w:fldCharType="end"/>
            </w:r>
          </w:hyperlink>
        </w:p>
        <w:p w:rsidR="00A86B83" w:rsidRDefault="00A86B83">
          <w:pPr>
            <w:pStyle w:val="TOC1"/>
            <w:tabs>
              <w:tab w:val="right" w:leader="dot" w:pos="9350"/>
            </w:tabs>
            <w:rPr>
              <w:rFonts w:eastAsiaTheme="minorEastAsia"/>
              <w:noProof/>
            </w:rPr>
          </w:pPr>
          <w:hyperlink w:anchor="_Toc10792057" w:history="1">
            <w:r w:rsidRPr="007905F7">
              <w:rPr>
                <w:rStyle w:val="Hyperlink"/>
                <w:noProof/>
              </w:rPr>
              <w:t>Contracted Providers – Claims Payment</w:t>
            </w:r>
            <w:r>
              <w:rPr>
                <w:noProof/>
                <w:webHidden/>
              </w:rPr>
              <w:tab/>
            </w:r>
            <w:r>
              <w:rPr>
                <w:noProof/>
                <w:webHidden/>
              </w:rPr>
              <w:fldChar w:fldCharType="begin"/>
            </w:r>
            <w:r>
              <w:rPr>
                <w:noProof/>
                <w:webHidden/>
              </w:rPr>
              <w:instrText xml:space="preserve"> PAGEREF _Toc10792057 \h </w:instrText>
            </w:r>
            <w:r>
              <w:rPr>
                <w:noProof/>
                <w:webHidden/>
              </w:rPr>
            </w:r>
            <w:r>
              <w:rPr>
                <w:noProof/>
                <w:webHidden/>
              </w:rPr>
              <w:fldChar w:fldCharType="separate"/>
            </w:r>
            <w:r>
              <w:rPr>
                <w:noProof/>
                <w:webHidden/>
              </w:rPr>
              <w:t>6</w:t>
            </w:r>
            <w:r>
              <w:rPr>
                <w:noProof/>
                <w:webHidden/>
              </w:rPr>
              <w:fldChar w:fldCharType="end"/>
            </w:r>
          </w:hyperlink>
        </w:p>
        <w:p w:rsidR="00A86B83" w:rsidRDefault="00A86B83">
          <w:pPr>
            <w:pStyle w:val="TOC1"/>
            <w:tabs>
              <w:tab w:val="right" w:leader="dot" w:pos="9350"/>
            </w:tabs>
            <w:rPr>
              <w:rFonts w:eastAsiaTheme="minorEastAsia"/>
              <w:noProof/>
            </w:rPr>
          </w:pPr>
          <w:hyperlink w:anchor="_Toc10792058" w:history="1">
            <w:r w:rsidRPr="007905F7">
              <w:rPr>
                <w:rStyle w:val="Hyperlink"/>
                <w:noProof/>
              </w:rPr>
              <w:t>Contracted Providers – Call Coverage</w:t>
            </w:r>
            <w:r>
              <w:rPr>
                <w:noProof/>
                <w:webHidden/>
              </w:rPr>
              <w:tab/>
            </w:r>
            <w:r>
              <w:rPr>
                <w:noProof/>
                <w:webHidden/>
              </w:rPr>
              <w:fldChar w:fldCharType="begin"/>
            </w:r>
            <w:r>
              <w:rPr>
                <w:noProof/>
                <w:webHidden/>
              </w:rPr>
              <w:instrText xml:space="preserve"> PAGEREF _Toc10792058 \h </w:instrText>
            </w:r>
            <w:r>
              <w:rPr>
                <w:noProof/>
                <w:webHidden/>
              </w:rPr>
            </w:r>
            <w:r>
              <w:rPr>
                <w:noProof/>
                <w:webHidden/>
              </w:rPr>
              <w:fldChar w:fldCharType="separate"/>
            </w:r>
            <w:r>
              <w:rPr>
                <w:noProof/>
                <w:webHidden/>
              </w:rPr>
              <w:t>6</w:t>
            </w:r>
            <w:r>
              <w:rPr>
                <w:noProof/>
                <w:webHidden/>
              </w:rPr>
              <w:fldChar w:fldCharType="end"/>
            </w:r>
          </w:hyperlink>
        </w:p>
        <w:p w:rsidR="00A86B83" w:rsidRDefault="00A86B83">
          <w:pPr>
            <w:pStyle w:val="TOC1"/>
            <w:tabs>
              <w:tab w:val="right" w:leader="dot" w:pos="9350"/>
            </w:tabs>
            <w:rPr>
              <w:rFonts w:eastAsiaTheme="minorEastAsia"/>
              <w:noProof/>
            </w:rPr>
          </w:pPr>
          <w:hyperlink w:anchor="_Toc10792059" w:history="1">
            <w:r w:rsidRPr="007905F7">
              <w:rPr>
                <w:rStyle w:val="Hyperlink"/>
                <w:noProof/>
              </w:rPr>
              <w:t>Referrals to Contracted Providers</w:t>
            </w:r>
            <w:r>
              <w:rPr>
                <w:noProof/>
                <w:webHidden/>
              </w:rPr>
              <w:tab/>
            </w:r>
            <w:r>
              <w:rPr>
                <w:noProof/>
                <w:webHidden/>
              </w:rPr>
              <w:fldChar w:fldCharType="begin"/>
            </w:r>
            <w:r>
              <w:rPr>
                <w:noProof/>
                <w:webHidden/>
              </w:rPr>
              <w:instrText xml:space="preserve"> PAGEREF _Toc10792059 \h </w:instrText>
            </w:r>
            <w:r>
              <w:rPr>
                <w:noProof/>
                <w:webHidden/>
              </w:rPr>
            </w:r>
            <w:r>
              <w:rPr>
                <w:noProof/>
                <w:webHidden/>
              </w:rPr>
              <w:fldChar w:fldCharType="separate"/>
            </w:r>
            <w:r>
              <w:rPr>
                <w:noProof/>
                <w:webHidden/>
              </w:rPr>
              <w:t>6</w:t>
            </w:r>
            <w:r>
              <w:rPr>
                <w:noProof/>
                <w:webHidden/>
              </w:rPr>
              <w:fldChar w:fldCharType="end"/>
            </w:r>
          </w:hyperlink>
        </w:p>
        <w:p w:rsidR="00A86B83" w:rsidRDefault="00A86B83">
          <w:pPr>
            <w:pStyle w:val="TOC1"/>
            <w:tabs>
              <w:tab w:val="right" w:leader="dot" w:pos="9350"/>
            </w:tabs>
            <w:rPr>
              <w:rFonts w:eastAsiaTheme="minorEastAsia"/>
              <w:noProof/>
            </w:rPr>
          </w:pPr>
          <w:hyperlink w:anchor="_Toc10792060" w:history="1">
            <w:r w:rsidRPr="007905F7">
              <w:rPr>
                <w:rStyle w:val="Hyperlink"/>
                <w:noProof/>
              </w:rPr>
              <w:t>Pharmacy Services</w:t>
            </w:r>
            <w:r>
              <w:rPr>
                <w:noProof/>
                <w:webHidden/>
              </w:rPr>
              <w:tab/>
            </w:r>
            <w:r>
              <w:rPr>
                <w:noProof/>
                <w:webHidden/>
              </w:rPr>
              <w:fldChar w:fldCharType="begin"/>
            </w:r>
            <w:r>
              <w:rPr>
                <w:noProof/>
                <w:webHidden/>
              </w:rPr>
              <w:instrText xml:space="preserve"> PAGEREF _Toc10792060 \h </w:instrText>
            </w:r>
            <w:r>
              <w:rPr>
                <w:noProof/>
                <w:webHidden/>
              </w:rPr>
            </w:r>
            <w:r>
              <w:rPr>
                <w:noProof/>
                <w:webHidden/>
              </w:rPr>
              <w:fldChar w:fldCharType="separate"/>
            </w:r>
            <w:r>
              <w:rPr>
                <w:noProof/>
                <w:webHidden/>
              </w:rPr>
              <w:t>7</w:t>
            </w:r>
            <w:r>
              <w:rPr>
                <w:noProof/>
                <w:webHidden/>
              </w:rPr>
              <w:fldChar w:fldCharType="end"/>
            </w:r>
          </w:hyperlink>
        </w:p>
        <w:p w:rsidR="00A86B83" w:rsidRDefault="00A86B83">
          <w:pPr>
            <w:pStyle w:val="TOC1"/>
            <w:tabs>
              <w:tab w:val="right" w:leader="dot" w:pos="9350"/>
            </w:tabs>
            <w:rPr>
              <w:rFonts w:eastAsiaTheme="minorEastAsia"/>
              <w:noProof/>
            </w:rPr>
          </w:pPr>
          <w:hyperlink w:anchor="_Toc10792061" w:history="1">
            <w:r w:rsidRPr="007905F7">
              <w:rPr>
                <w:rStyle w:val="Hyperlink"/>
                <w:noProof/>
              </w:rPr>
              <w:t>Enrollee Direct Access Services</w:t>
            </w:r>
            <w:r>
              <w:rPr>
                <w:noProof/>
                <w:webHidden/>
              </w:rPr>
              <w:tab/>
            </w:r>
            <w:r>
              <w:rPr>
                <w:noProof/>
                <w:webHidden/>
              </w:rPr>
              <w:fldChar w:fldCharType="begin"/>
            </w:r>
            <w:r>
              <w:rPr>
                <w:noProof/>
                <w:webHidden/>
              </w:rPr>
              <w:instrText xml:space="preserve"> PAGEREF _Toc10792061 \h </w:instrText>
            </w:r>
            <w:r>
              <w:rPr>
                <w:noProof/>
                <w:webHidden/>
              </w:rPr>
            </w:r>
            <w:r>
              <w:rPr>
                <w:noProof/>
                <w:webHidden/>
              </w:rPr>
              <w:fldChar w:fldCharType="separate"/>
            </w:r>
            <w:r>
              <w:rPr>
                <w:noProof/>
                <w:webHidden/>
              </w:rPr>
              <w:t>7</w:t>
            </w:r>
            <w:r>
              <w:rPr>
                <w:noProof/>
                <w:webHidden/>
              </w:rPr>
              <w:fldChar w:fldCharType="end"/>
            </w:r>
          </w:hyperlink>
        </w:p>
        <w:p w:rsidR="00A86B83" w:rsidRDefault="00A86B83">
          <w:pPr>
            <w:pStyle w:val="TOC1"/>
            <w:tabs>
              <w:tab w:val="right" w:leader="dot" w:pos="9350"/>
            </w:tabs>
            <w:rPr>
              <w:rFonts w:eastAsiaTheme="minorEastAsia"/>
              <w:noProof/>
            </w:rPr>
          </w:pPr>
          <w:hyperlink w:anchor="_Toc10792062" w:history="1">
            <w:r w:rsidRPr="007905F7">
              <w:rPr>
                <w:rStyle w:val="Hyperlink"/>
                <w:noProof/>
              </w:rPr>
              <w:t>Cultural Competency and Language Assistance</w:t>
            </w:r>
            <w:r>
              <w:rPr>
                <w:noProof/>
                <w:webHidden/>
              </w:rPr>
              <w:tab/>
            </w:r>
            <w:r>
              <w:rPr>
                <w:noProof/>
                <w:webHidden/>
              </w:rPr>
              <w:fldChar w:fldCharType="begin"/>
            </w:r>
            <w:r>
              <w:rPr>
                <w:noProof/>
                <w:webHidden/>
              </w:rPr>
              <w:instrText xml:space="preserve"> PAGEREF _Toc10792062 \h </w:instrText>
            </w:r>
            <w:r>
              <w:rPr>
                <w:noProof/>
                <w:webHidden/>
              </w:rPr>
            </w:r>
            <w:r>
              <w:rPr>
                <w:noProof/>
                <w:webHidden/>
              </w:rPr>
              <w:fldChar w:fldCharType="separate"/>
            </w:r>
            <w:r>
              <w:rPr>
                <w:noProof/>
                <w:webHidden/>
              </w:rPr>
              <w:t>7</w:t>
            </w:r>
            <w:r>
              <w:rPr>
                <w:noProof/>
                <w:webHidden/>
              </w:rPr>
              <w:fldChar w:fldCharType="end"/>
            </w:r>
          </w:hyperlink>
        </w:p>
        <w:p w:rsidR="00A86B83" w:rsidRDefault="00A86B83">
          <w:pPr>
            <w:pStyle w:val="TOC1"/>
            <w:tabs>
              <w:tab w:val="right" w:leader="dot" w:pos="9350"/>
            </w:tabs>
            <w:rPr>
              <w:rFonts w:eastAsiaTheme="minorEastAsia"/>
              <w:noProof/>
            </w:rPr>
          </w:pPr>
          <w:hyperlink w:anchor="_Toc10792063" w:history="1">
            <w:r w:rsidRPr="007905F7">
              <w:rPr>
                <w:rStyle w:val="Hyperlink"/>
                <w:noProof/>
              </w:rPr>
              <w:t>Non-Discrimination</w:t>
            </w:r>
            <w:r>
              <w:rPr>
                <w:noProof/>
                <w:webHidden/>
              </w:rPr>
              <w:tab/>
            </w:r>
            <w:r>
              <w:rPr>
                <w:noProof/>
                <w:webHidden/>
              </w:rPr>
              <w:fldChar w:fldCharType="begin"/>
            </w:r>
            <w:r>
              <w:rPr>
                <w:noProof/>
                <w:webHidden/>
              </w:rPr>
              <w:instrText xml:space="preserve"> PAGEREF _Toc10792063 \h </w:instrText>
            </w:r>
            <w:r>
              <w:rPr>
                <w:noProof/>
                <w:webHidden/>
              </w:rPr>
            </w:r>
            <w:r>
              <w:rPr>
                <w:noProof/>
                <w:webHidden/>
              </w:rPr>
              <w:fldChar w:fldCharType="separate"/>
            </w:r>
            <w:r>
              <w:rPr>
                <w:noProof/>
                <w:webHidden/>
              </w:rPr>
              <w:t>8</w:t>
            </w:r>
            <w:r>
              <w:rPr>
                <w:noProof/>
                <w:webHidden/>
              </w:rPr>
              <w:fldChar w:fldCharType="end"/>
            </w:r>
          </w:hyperlink>
        </w:p>
        <w:p w:rsidR="00A86B83" w:rsidRDefault="00A86B83">
          <w:pPr>
            <w:pStyle w:val="TOC1"/>
            <w:tabs>
              <w:tab w:val="right" w:leader="dot" w:pos="9350"/>
            </w:tabs>
            <w:rPr>
              <w:rFonts w:eastAsiaTheme="minorEastAsia"/>
              <w:noProof/>
            </w:rPr>
          </w:pPr>
          <w:hyperlink w:anchor="_Toc10792064" w:history="1">
            <w:r w:rsidRPr="007905F7">
              <w:rPr>
                <w:rStyle w:val="Hyperlink"/>
                <w:noProof/>
              </w:rPr>
              <w:t>Provider Administrative Dispute Resolution</w:t>
            </w:r>
            <w:r>
              <w:rPr>
                <w:noProof/>
                <w:webHidden/>
              </w:rPr>
              <w:tab/>
            </w:r>
            <w:r>
              <w:rPr>
                <w:noProof/>
                <w:webHidden/>
              </w:rPr>
              <w:fldChar w:fldCharType="begin"/>
            </w:r>
            <w:r>
              <w:rPr>
                <w:noProof/>
                <w:webHidden/>
              </w:rPr>
              <w:instrText xml:space="preserve"> PAGEREF _Toc10792064 \h </w:instrText>
            </w:r>
            <w:r>
              <w:rPr>
                <w:noProof/>
                <w:webHidden/>
              </w:rPr>
            </w:r>
            <w:r>
              <w:rPr>
                <w:noProof/>
                <w:webHidden/>
              </w:rPr>
              <w:fldChar w:fldCharType="separate"/>
            </w:r>
            <w:r>
              <w:rPr>
                <w:noProof/>
                <w:webHidden/>
              </w:rPr>
              <w:t>8</w:t>
            </w:r>
            <w:r>
              <w:rPr>
                <w:noProof/>
                <w:webHidden/>
              </w:rPr>
              <w:fldChar w:fldCharType="end"/>
            </w:r>
          </w:hyperlink>
        </w:p>
        <w:p w:rsidR="00A86B83" w:rsidRDefault="00A86B83">
          <w:pPr>
            <w:pStyle w:val="TOC1"/>
            <w:tabs>
              <w:tab w:val="right" w:leader="dot" w:pos="9350"/>
            </w:tabs>
            <w:rPr>
              <w:rFonts w:eastAsiaTheme="minorEastAsia"/>
              <w:noProof/>
            </w:rPr>
          </w:pPr>
          <w:hyperlink w:anchor="_Toc10792065" w:history="1">
            <w:r w:rsidRPr="007905F7">
              <w:rPr>
                <w:rStyle w:val="Hyperlink"/>
                <w:noProof/>
              </w:rPr>
              <w:t>UTILIZATION MANAGEMENT</w:t>
            </w:r>
            <w:r>
              <w:rPr>
                <w:noProof/>
                <w:webHidden/>
              </w:rPr>
              <w:tab/>
            </w:r>
            <w:r>
              <w:rPr>
                <w:noProof/>
                <w:webHidden/>
              </w:rPr>
              <w:fldChar w:fldCharType="begin"/>
            </w:r>
            <w:r>
              <w:rPr>
                <w:noProof/>
                <w:webHidden/>
              </w:rPr>
              <w:instrText xml:space="preserve"> PAGEREF _Toc10792065 \h </w:instrText>
            </w:r>
            <w:r>
              <w:rPr>
                <w:noProof/>
                <w:webHidden/>
              </w:rPr>
            </w:r>
            <w:r>
              <w:rPr>
                <w:noProof/>
                <w:webHidden/>
              </w:rPr>
              <w:fldChar w:fldCharType="separate"/>
            </w:r>
            <w:r>
              <w:rPr>
                <w:noProof/>
                <w:webHidden/>
              </w:rPr>
              <w:t>8</w:t>
            </w:r>
            <w:r>
              <w:rPr>
                <w:noProof/>
                <w:webHidden/>
              </w:rPr>
              <w:fldChar w:fldCharType="end"/>
            </w:r>
          </w:hyperlink>
        </w:p>
        <w:p w:rsidR="00A86B83" w:rsidRDefault="00A86B83">
          <w:pPr>
            <w:pStyle w:val="TOC1"/>
            <w:tabs>
              <w:tab w:val="right" w:leader="dot" w:pos="9350"/>
            </w:tabs>
            <w:rPr>
              <w:rFonts w:eastAsiaTheme="minorEastAsia"/>
              <w:noProof/>
            </w:rPr>
          </w:pPr>
          <w:hyperlink w:anchor="_Toc10792066" w:history="1">
            <w:r w:rsidRPr="007905F7">
              <w:rPr>
                <w:rStyle w:val="Hyperlink"/>
                <w:noProof/>
              </w:rPr>
              <w:t>Medical Necessity Guidelines</w:t>
            </w:r>
            <w:r>
              <w:rPr>
                <w:noProof/>
                <w:webHidden/>
              </w:rPr>
              <w:tab/>
            </w:r>
            <w:r>
              <w:rPr>
                <w:noProof/>
                <w:webHidden/>
              </w:rPr>
              <w:fldChar w:fldCharType="begin"/>
            </w:r>
            <w:r>
              <w:rPr>
                <w:noProof/>
                <w:webHidden/>
              </w:rPr>
              <w:instrText xml:space="preserve"> PAGEREF _Toc10792066 \h </w:instrText>
            </w:r>
            <w:r>
              <w:rPr>
                <w:noProof/>
                <w:webHidden/>
              </w:rPr>
            </w:r>
            <w:r>
              <w:rPr>
                <w:noProof/>
                <w:webHidden/>
              </w:rPr>
              <w:fldChar w:fldCharType="separate"/>
            </w:r>
            <w:r>
              <w:rPr>
                <w:noProof/>
                <w:webHidden/>
              </w:rPr>
              <w:t>10</w:t>
            </w:r>
            <w:r>
              <w:rPr>
                <w:noProof/>
                <w:webHidden/>
              </w:rPr>
              <w:fldChar w:fldCharType="end"/>
            </w:r>
          </w:hyperlink>
        </w:p>
        <w:p w:rsidR="00A86B83" w:rsidRDefault="00A86B83">
          <w:pPr>
            <w:pStyle w:val="TOC1"/>
            <w:tabs>
              <w:tab w:val="right" w:leader="dot" w:pos="9350"/>
            </w:tabs>
            <w:rPr>
              <w:rFonts w:eastAsiaTheme="minorEastAsia"/>
              <w:noProof/>
            </w:rPr>
          </w:pPr>
          <w:hyperlink w:anchor="_Toc10792067" w:history="1">
            <w:r w:rsidRPr="007905F7">
              <w:rPr>
                <w:rStyle w:val="Hyperlink"/>
                <w:noProof/>
              </w:rPr>
              <w:t>Timeliness of UM Decisions</w:t>
            </w:r>
            <w:r>
              <w:rPr>
                <w:noProof/>
                <w:webHidden/>
              </w:rPr>
              <w:tab/>
            </w:r>
            <w:r>
              <w:rPr>
                <w:noProof/>
                <w:webHidden/>
              </w:rPr>
              <w:fldChar w:fldCharType="begin"/>
            </w:r>
            <w:r>
              <w:rPr>
                <w:noProof/>
                <w:webHidden/>
              </w:rPr>
              <w:instrText xml:space="preserve"> PAGEREF _Toc10792067 \h </w:instrText>
            </w:r>
            <w:r>
              <w:rPr>
                <w:noProof/>
                <w:webHidden/>
              </w:rPr>
            </w:r>
            <w:r>
              <w:rPr>
                <w:noProof/>
                <w:webHidden/>
              </w:rPr>
              <w:fldChar w:fldCharType="separate"/>
            </w:r>
            <w:r>
              <w:rPr>
                <w:noProof/>
                <w:webHidden/>
              </w:rPr>
              <w:t>11</w:t>
            </w:r>
            <w:r>
              <w:rPr>
                <w:noProof/>
                <w:webHidden/>
              </w:rPr>
              <w:fldChar w:fldCharType="end"/>
            </w:r>
          </w:hyperlink>
        </w:p>
        <w:p w:rsidR="00A86B83" w:rsidRDefault="00A86B83">
          <w:pPr>
            <w:pStyle w:val="TOC1"/>
            <w:tabs>
              <w:tab w:val="right" w:leader="dot" w:pos="9350"/>
            </w:tabs>
            <w:rPr>
              <w:rFonts w:eastAsiaTheme="minorEastAsia"/>
              <w:noProof/>
            </w:rPr>
          </w:pPr>
          <w:hyperlink w:anchor="_Toc10792068" w:history="1">
            <w:r w:rsidRPr="007905F7">
              <w:rPr>
                <w:rStyle w:val="Hyperlink"/>
                <w:noProof/>
              </w:rPr>
              <w:t>Denials/Unfavorable UM Determinations</w:t>
            </w:r>
            <w:r>
              <w:rPr>
                <w:noProof/>
                <w:webHidden/>
              </w:rPr>
              <w:tab/>
            </w:r>
            <w:r>
              <w:rPr>
                <w:noProof/>
                <w:webHidden/>
              </w:rPr>
              <w:fldChar w:fldCharType="begin"/>
            </w:r>
            <w:r>
              <w:rPr>
                <w:noProof/>
                <w:webHidden/>
              </w:rPr>
              <w:instrText xml:space="preserve"> PAGEREF _Toc10792068 \h </w:instrText>
            </w:r>
            <w:r>
              <w:rPr>
                <w:noProof/>
                <w:webHidden/>
              </w:rPr>
            </w:r>
            <w:r>
              <w:rPr>
                <w:noProof/>
                <w:webHidden/>
              </w:rPr>
              <w:fldChar w:fldCharType="separate"/>
            </w:r>
            <w:r>
              <w:rPr>
                <w:noProof/>
                <w:webHidden/>
              </w:rPr>
              <w:t>11</w:t>
            </w:r>
            <w:r>
              <w:rPr>
                <w:noProof/>
                <w:webHidden/>
              </w:rPr>
              <w:fldChar w:fldCharType="end"/>
            </w:r>
          </w:hyperlink>
        </w:p>
        <w:p w:rsidR="007E6EE0" w:rsidRDefault="00145356">
          <w:r>
            <w:rPr>
              <w:b/>
              <w:bCs/>
              <w:noProof/>
            </w:rPr>
            <w:fldChar w:fldCharType="end"/>
          </w:r>
        </w:p>
      </w:sdtContent>
    </w:sdt>
    <w:p w:rsidR="0041546A" w:rsidRDefault="0041546A" w:rsidP="006568EB">
      <w:pPr>
        <w:pStyle w:val="Pa5"/>
        <w:ind w:left="90"/>
        <w:rPr>
          <w:rFonts w:ascii="Arial" w:hAnsi="Arial" w:cs="Arial"/>
          <w:b/>
          <w:color w:val="000000"/>
        </w:rPr>
      </w:pPr>
    </w:p>
    <w:p w:rsidR="0041546A" w:rsidRDefault="0041546A">
      <w:pPr>
        <w:rPr>
          <w:rFonts w:ascii="Arial" w:hAnsi="Arial" w:cs="Arial"/>
          <w:b/>
          <w:color w:val="000000"/>
          <w:sz w:val="24"/>
          <w:szCs w:val="24"/>
        </w:rPr>
      </w:pPr>
      <w:r>
        <w:rPr>
          <w:rFonts w:ascii="Arial" w:hAnsi="Arial" w:cs="Arial"/>
          <w:b/>
          <w:color w:val="000000"/>
        </w:rPr>
        <w:br w:type="page"/>
      </w:r>
    </w:p>
    <w:p w:rsidR="00392F5A" w:rsidRPr="001B1EC2" w:rsidRDefault="00392F5A" w:rsidP="00705B7A">
      <w:pPr>
        <w:pStyle w:val="Heading"/>
        <w:spacing w:after="200"/>
        <w:ind w:left="86"/>
      </w:pPr>
      <w:r w:rsidRPr="001B1EC2">
        <w:lastRenderedPageBreak/>
        <w:t xml:space="preserve">Purpose of Manual </w:t>
      </w:r>
    </w:p>
    <w:p w:rsidR="00392F5A" w:rsidRDefault="00392F5A" w:rsidP="00705B7A">
      <w:pPr>
        <w:pStyle w:val="Style1"/>
      </w:pPr>
      <w:r w:rsidRPr="001B1EC2">
        <w:t xml:space="preserve">The Provider Manual serves as a reference guide and educational resource for physicians, ancillary providers and their staff. It is a source for answers to some of the most common questions that providers have about working with GMG. It expands upon and explains some of the GMG policies and procedures referenced in your provider agreement. </w:t>
      </w:r>
    </w:p>
    <w:p w:rsidR="006568EB" w:rsidRDefault="006568EB" w:rsidP="00705B7A">
      <w:pPr>
        <w:pStyle w:val="Style1"/>
      </w:pPr>
    </w:p>
    <w:p w:rsidR="006568EB" w:rsidRDefault="006568EB" w:rsidP="00705B7A">
      <w:pPr>
        <w:pStyle w:val="Style1"/>
      </w:pPr>
      <w:r w:rsidRPr="006568EB">
        <w:t>This provider manual is made available to all providers digital format, email or fax.</w:t>
      </w:r>
    </w:p>
    <w:p w:rsidR="006568EB" w:rsidRPr="006568EB" w:rsidRDefault="006568EB" w:rsidP="00705B7A">
      <w:pPr>
        <w:pStyle w:val="Style1"/>
      </w:pPr>
    </w:p>
    <w:p w:rsidR="00392F5A" w:rsidRPr="001B1EC2" w:rsidRDefault="00392F5A" w:rsidP="00705B7A">
      <w:pPr>
        <w:pStyle w:val="Style1"/>
      </w:pPr>
      <w:r w:rsidRPr="001B1EC2">
        <w:t xml:space="preserve">Please be advised that nothing in this provider manual or the GMG provider agreement is intended </w:t>
      </w:r>
      <w:r w:rsidR="004222A6" w:rsidRPr="001B1EC2">
        <w:t>to or</w:t>
      </w:r>
      <w:r w:rsidRPr="001B1EC2">
        <w:t xml:space="preserve"> shall be interpreted to discourage or prohibit a participating provider from discussing with a member treatment options or providing other medical advice or treatment deemed appropriate by a participating provider. </w:t>
      </w:r>
    </w:p>
    <w:p w:rsidR="00392F5A" w:rsidRPr="001B1EC2" w:rsidRDefault="00392F5A" w:rsidP="00392F5A">
      <w:pPr>
        <w:pStyle w:val="Default"/>
        <w:rPr>
          <w:rFonts w:ascii="Arial" w:hAnsi="Arial" w:cs="Arial"/>
        </w:rPr>
      </w:pPr>
    </w:p>
    <w:p w:rsidR="00392F5A" w:rsidRPr="001B1EC2" w:rsidRDefault="00392F5A" w:rsidP="00392F5A">
      <w:pPr>
        <w:pStyle w:val="Default"/>
        <w:rPr>
          <w:rFonts w:ascii="Arial" w:hAnsi="Arial" w:cs="Arial"/>
        </w:rPr>
      </w:pPr>
    </w:p>
    <w:p w:rsidR="00392F5A" w:rsidRPr="001B1EC2" w:rsidRDefault="00392F5A" w:rsidP="00392F5A">
      <w:pPr>
        <w:pStyle w:val="Default"/>
        <w:rPr>
          <w:rFonts w:ascii="Arial" w:hAnsi="Arial" w:cs="Arial"/>
        </w:rPr>
      </w:pPr>
    </w:p>
    <w:p w:rsidR="00392F5A" w:rsidRPr="001B1EC2" w:rsidRDefault="00392F5A" w:rsidP="00392F5A">
      <w:pPr>
        <w:pStyle w:val="Default"/>
        <w:rPr>
          <w:rFonts w:ascii="Arial" w:hAnsi="Arial" w:cs="Arial"/>
        </w:rPr>
      </w:pPr>
    </w:p>
    <w:p w:rsidR="00392F5A" w:rsidRPr="001B1EC2" w:rsidRDefault="00392F5A" w:rsidP="00392F5A">
      <w:pPr>
        <w:pStyle w:val="Default"/>
        <w:rPr>
          <w:rFonts w:ascii="Arial" w:hAnsi="Arial" w:cs="Arial"/>
        </w:rPr>
      </w:pPr>
    </w:p>
    <w:p w:rsidR="00392F5A" w:rsidRPr="001B1EC2" w:rsidRDefault="00392F5A" w:rsidP="00392F5A">
      <w:pPr>
        <w:pStyle w:val="Default"/>
        <w:rPr>
          <w:rFonts w:ascii="Arial" w:hAnsi="Arial" w:cs="Arial"/>
        </w:rPr>
      </w:pPr>
    </w:p>
    <w:p w:rsidR="00392F5A" w:rsidRPr="001B1EC2" w:rsidRDefault="00392F5A" w:rsidP="00392F5A">
      <w:pPr>
        <w:pStyle w:val="Default"/>
        <w:rPr>
          <w:rFonts w:ascii="Arial" w:hAnsi="Arial" w:cs="Arial"/>
        </w:rPr>
      </w:pPr>
    </w:p>
    <w:p w:rsidR="00392F5A" w:rsidRPr="001B1EC2" w:rsidRDefault="00392F5A" w:rsidP="00392F5A">
      <w:pPr>
        <w:pStyle w:val="Default"/>
        <w:rPr>
          <w:rFonts w:ascii="Arial" w:hAnsi="Arial" w:cs="Arial"/>
        </w:rPr>
      </w:pPr>
    </w:p>
    <w:p w:rsidR="00392F5A" w:rsidRPr="001B1EC2" w:rsidRDefault="00392F5A" w:rsidP="00392F5A">
      <w:pPr>
        <w:pStyle w:val="Default"/>
        <w:rPr>
          <w:rFonts w:ascii="Arial" w:hAnsi="Arial" w:cs="Arial"/>
        </w:rPr>
      </w:pPr>
    </w:p>
    <w:p w:rsidR="00C06570" w:rsidRPr="001B1EC2" w:rsidRDefault="00C06570" w:rsidP="00392F5A">
      <w:pPr>
        <w:pStyle w:val="Default"/>
        <w:rPr>
          <w:rFonts w:ascii="Arial" w:hAnsi="Arial" w:cs="Arial"/>
        </w:rPr>
      </w:pPr>
    </w:p>
    <w:p w:rsidR="00C06570" w:rsidRPr="001B1EC2" w:rsidRDefault="00C06570" w:rsidP="00392F5A">
      <w:pPr>
        <w:pStyle w:val="Default"/>
        <w:rPr>
          <w:rFonts w:ascii="Arial" w:hAnsi="Arial" w:cs="Arial"/>
        </w:rPr>
      </w:pPr>
    </w:p>
    <w:p w:rsidR="00C06570" w:rsidRPr="001B1EC2" w:rsidRDefault="00C06570" w:rsidP="00392F5A">
      <w:pPr>
        <w:pStyle w:val="Default"/>
        <w:rPr>
          <w:rFonts w:ascii="Arial" w:hAnsi="Arial" w:cs="Arial"/>
        </w:rPr>
      </w:pPr>
    </w:p>
    <w:p w:rsidR="00C06570" w:rsidRPr="001B1EC2" w:rsidRDefault="00C06570" w:rsidP="00392F5A">
      <w:pPr>
        <w:pStyle w:val="Default"/>
        <w:rPr>
          <w:rFonts w:ascii="Arial" w:hAnsi="Arial" w:cs="Arial"/>
        </w:rPr>
      </w:pPr>
    </w:p>
    <w:p w:rsidR="00C06570" w:rsidRPr="001B1EC2" w:rsidRDefault="00C06570" w:rsidP="00392F5A">
      <w:pPr>
        <w:pStyle w:val="Default"/>
        <w:rPr>
          <w:rFonts w:ascii="Arial" w:hAnsi="Arial" w:cs="Arial"/>
        </w:rPr>
      </w:pPr>
    </w:p>
    <w:p w:rsidR="00C06570" w:rsidRPr="001B1EC2" w:rsidRDefault="00C06570" w:rsidP="00392F5A">
      <w:pPr>
        <w:pStyle w:val="Default"/>
        <w:rPr>
          <w:rFonts w:ascii="Arial" w:hAnsi="Arial" w:cs="Arial"/>
        </w:rPr>
      </w:pPr>
    </w:p>
    <w:p w:rsidR="00557A50" w:rsidRPr="001B1EC2" w:rsidRDefault="00557A50" w:rsidP="00392F5A">
      <w:pPr>
        <w:pStyle w:val="Default"/>
        <w:rPr>
          <w:rFonts w:ascii="Arial" w:hAnsi="Arial" w:cs="Arial"/>
        </w:rPr>
      </w:pPr>
    </w:p>
    <w:p w:rsidR="00557A50" w:rsidRPr="001B1EC2" w:rsidRDefault="00557A50" w:rsidP="00392F5A">
      <w:pPr>
        <w:pStyle w:val="Default"/>
        <w:rPr>
          <w:rFonts w:ascii="Arial" w:hAnsi="Arial" w:cs="Arial"/>
        </w:rPr>
      </w:pPr>
    </w:p>
    <w:p w:rsidR="00557A50" w:rsidRPr="001B1EC2" w:rsidRDefault="00557A50" w:rsidP="00392F5A">
      <w:pPr>
        <w:pStyle w:val="Default"/>
        <w:rPr>
          <w:rFonts w:ascii="Arial" w:hAnsi="Arial" w:cs="Arial"/>
        </w:rPr>
      </w:pPr>
    </w:p>
    <w:p w:rsidR="00C06570" w:rsidRPr="001B1EC2" w:rsidRDefault="00C06570" w:rsidP="00392F5A">
      <w:pPr>
        <w:pStyle w:val="Default"/>
        <w:rPr>
          <w:rFonts w:ascii="Arial" w:hAnsi="Arial" w:cs="Arial"/>
        </w:rPr>
      </w:pPr>
    </w:p>
    <w:p w:rsidR="00C06570" w:rsidRPr="001B1EC2" w:rsidRDefault="00C06570" w:rsidP="00392F5A">
      <w:pPr>
        <w:pStyle w:val="Default"/>
        <w:rPr>
          <w:rFonts w:ascii="Arial" w:hAnsi="Arial" w:cs="Arial"/>
        </w:rPr>
      </w:pPr>
    </w:p>
    <w:p w:rsidR="00C06570" w:rsidRPr="001B1EC2" w:rsidRDefault="00C06570" w:rsidP="00392F5A">
      <w:pPr>
        <w:pStyle w:val="Default"/>
        <w:rPr>
          <w:rFonts w:ascii="Arial" w:hAnsi="Arial" w:cs="Arial"/>
        </w:rPr>
      </w:pPr>
    </w:p>
    <w:p w:rsidR="00D421C7" w:rsidRPr="001B1EC2" w:rsidRDefault="00392F5A" w:rsidP="00392F5A">
      <w:pPr>
        <w:rPr>
          <w:rFonts w:ascii="Arial" w:hAnsi="Arial" w:cs="Arial"/>
          <w:color w:val="000000"/>
          <w:sz w:val="23"/>
          <w:szCs w:val="23"/>
        </w:rPr>
      </w:pPr>
      <w:r w:rsidRPr="001B1EC2">
        <w:rPr>
          <w:rStyle w:val="A3"/>
          <w:rFonts w:ascii="Arial" w:hAnsi="Arial" w:cs="Arial"/>
          <w:sz w:val="23"/>
          <w:szCs w:val="23"/>
        </w:rPr>
        <w:t xml:space="preserve">Please Note: </w:t>
      </w:r>
      <w:r w:rsidRPr="001B1EC2">
        <w:rPr>
          <w:rFonts w:ascii="Arial" w:hAnsi="Arial" w:cs="Arial"/>
          <w:color w:val="000000"/>
          <w:sz w:val="23"/>
          <w:szCs w:val="23"/>
        </w:rPr>
        <w:t>If any provision of this Provider Manual comes in conflict with state or federal law or the terms of your provider agreement, the current federal law or state law as applicable takes precedence. The policies and procedures described in this manual are subject to modification, addition and/or deletion. All updates will be incorporated into the online Provider Manual; in some instances providers may receive additional communication in one of the various formats including, but not limited to; newsletters, mailings, fax blasts, web postings and/or manual revisions that will be incorporated into the online provider manual.</w:t>
      </w:r>
    </w:p>
    <w:p w:rsidR="00F848E9" w:rsidRDefault="00F848E9" w:rsidP="00557A50">
      <w:pPr>
        <w:pStyle w:val="Pa5"/>
        <w:rPr>
          <w:rFonts w:ascii="Arial" w:hAnsi="Arial" w:cs="Arial"/>
          <w:b/>
          <w:color w:val="000000"/>
        </w:rPr>
      </w:pPr>
    </w:p>
    <w:p w:rsidR="0041546A" w:rsidRDefault="0041546A" w:rsidP="00557A50">
      <w:pPr>
        <w:pStyle w:val="Pa5"/>
        <w:rPr>
          <w:rFonts w:ascii="Arial" w:hAnsi="Arial" w:cs="Arial"/>
          <w:b/>
          <w:color w:val="000000"/>
        </w:rPr>
      </w:pPr>
    </w:p>
    <w:p w:rsidR="00705B7A" w:rsidRDefault="00705B7A" w:rsidP="00705B7A">
      <w:pPr>
        <w:pStyle w:val="Heading"/>
      </w:pPr>
    </w:p>
    <w:p w:rsidR="00557A50" w:rsidRPr="00705B7A" w:rsidRDefault="00557A50" w:rsidP="00145356">
      <w:pPr>
        <w:pStyle w:val="Heading1"/>
      </w:pPr>
      <w:bookmarkStart w:id="1" w:name="_Toc10792050"/>
      <w:r w:rsidRPr="00705B7A">
        <w:t>Provider Relations</w:t>
      </w:r>
      <w:bookmarkEnd w:id="1"/>
      <w:r w:rsidRPr="00705B7A">
        <w:t xml:space="preserve"> </w:t>
      </w:r>
    </w:p>
    <w:p w:rsidR="001B7D76" w:rsidRPr="001B1EC2" w:rsidRDefault="000A1557" w:rsidP="00974434">
      <w:pPr>
        <w:autoSpaceDE w:val="0"/>
        <w:autoSpaceDN w:val="0"/>
        <w:adjustRightInd w:val="0"/>
        <w:spacing w:after="0" w:line="241" w:lineRule="atLeast"/>
        <w:ind w:left="360" w:right="620"/>
        <w:jc w:val="both"/>
        <w:rPr>
          <w:rFonts w:ascii="Arial" w:hAnsi="Arial" w:cs="Arial"/>
          <w:color w:val="000000"/>
          <w:sz w:val="23"/>
          <w:szCs w:val="23"/>
        </w:rPr>
      </w:pPr>
      <w:r w:rsidRPr="00705B7A">
        <w:rPr>
          <w:rStyle w:val="Style1Char"/>
        </w:rPr>
        <w:t xml:space="preserve">As a Medical Group, it is our aim </w:t>
      </w:r>
      <w:r w:rsidR="001B7D76" w:rsidRPr="00705B7A">
        <w:rPr>
          <w:rStyle w:val="Style1Char"/>
        </w:rPr>
        <w:t xml:space="preserve">to make it easy for providers to do business with us. We </w:t>
      </w:r>
      <w:r w:rsidRPr="00705B7A">
        <w:rPr>
          <w:rStyle w:val="Style1Char"/>
        </w:rPr>
        <w:t xml:space="preserve">hope you find we simplify our </w:t>
      </w:r>
      <w:r w:rsidR="001B7D76" w:rsidRPr="00705B7A">
        <w:rPr>
          <w:rStyle w:val="Style1Char"/>
        </w:rPr>
        <w:t>processes, giv</w:t>
      </w:r>
      <w:r w:rsidRPr="00705B7A">
        <w:rPr>
          <w:rStyle w:val="Style1Char"/>
        </w:rPr>
        <w:t xml:space="preserve">e you reliable information and are </w:t>
      </w:r>
      <w:r w:rsidR="009D49E1" w:rsidRPr="00705B7A">
        <w:rPr>
          <w:rStyle w:val="Style1Char"/>
        </w:rPr>
        <w:t xml:space="preserve">responsive to </w:t>
      </w:r>
      <w:r w:rsidRPr="00705B7A">
        <w:rPr>
          <w:rStyle w:val="Style1Char"/>
        </w:rPr>
        <w:t>you and your staff</w:t>
      </w:r>
      <w:r w:rsidR="009D49E1" w:rsidRPr="001B1EC2">
        <w:rPr>
          <w:rFonts w:ascii="Arial" w:hAnsi="Arial" w:cs="Arial"/>
          <w:color w:val="000000"/>
          <w:sz w:val="23"/>
          <w:szCs w:val="23"/>
        </w:rPr>
        <w:t>.</w:t>
      </w:r>
      <w:r w:rsidR="001B7D76" w:rsidRPr="001B1EC2">
        <w:rPr>
          <w:rFonts w:ascii="Arial" w:hAnsi="Arial" w:cs="Arial"/>
          <w:color w:val="000000"/>
          <w:sz w:val="23"/>
          <w:szCs w:val="23"/>
        </w:rPr>
        <w:t xml:space="preserve"> </w:t>
      </w:r>
    </w:p>
    <w:p w:rsidR="000A1557" w:rsidRPr="001B1EC2" w:rsidRDefault="000A1557" w:rsidP="00974434">
      <w:pPr>
        <w:autoSpaceDE w:val="0"/>
        <w:autoSpaceDN w:val="0"/>
        <w:adjustRightInd w:val="0"/>
        <w:spacing w:after="0" w:line="241" w:lineRule="atLeast"/>
        <w:ind w:left="360" w:right="620"/>
        <w:jc w:val="both"/>
        <w:rPr>
          <w:rFonts w:ascii="Arial" w:hAnsi="Arial" w:cs="Arial"/>
          <w:color w:val="000000"/>
          <w:sz w:val="23"/>
          <w:szCs w:val="23"/>
        </w:rPr>
      </w:pPr>
    </w:p>
    <w:p w:rsidR="000A1557" w:rsidRPr="001B1EC2" w:rsidRDefault="000A1557" w:rsidP="00974434">
      <w:pPr>
        <w:pStyle w:val="ListParagraph"/>
        <w:numPr>
          <w:ilvl w:val="0"/>
          <w:numId w:val="1"/>
        </w:numPr>
        <w:autoSpaceDE w:val="0"/>
        <w:autoSpaceDN w:val="0"/>
        <w:adjustRightInd w:val="0"/>
        <w:spacing w:after="0" w:line="241" w:lineRule="atLeast"/>
        <w:ind w:left="900" w:right="620" w:hanging="540"/>
        <w:jc w:val="both"/>
        <w:rPr>
          <w:rFonts w:ascii="Arial" w:hAnsi="Arial" w:cs="Arial"/>
          <w:color w:val="000000"/>
          <w:sz w:val="23"/>
          <w:szCs w:val="23"/>
        </w:rPr>
      </w:pPr>
      <w:r w:rsidRPr="001B1EC2">
        <w:rPr>
          <w:rFonts w:ascii="Arial" w:hAnsi="Arial" w:cs="Arial"/>
          <w:color w:val="000000"/>
          <w:sz w:val="23"/>
          <w:szCs w:val="23"/>
        </w:rPr>
        <w:t>Our Credentialing team can assist you with any Credentialing issues.</w:t>
      </w:r>
      <w:r w:rsidR="007D379D" w:rsidRPr="001B1EC2">
        <w:rPr>
          <w:rFonts w:ascii="Arial" w:hAnsi="Arial" w:cs="Arial"/>
          <w:color w:val="000000"/>
          <w:sz w:val="23"/>
          <w:szCs w:val="23"/>
        </w:rPr>
        <w:t xml:space="preserve">  We can also assist with updating demographic information and directory information.</w:t>
      </w:r>
    </w:p>
    <w:p w:rsidR="007D379D" w:rsidRPr="001B1EC2" w:rsidRDefault="000A1557" w:rsidP="00974434">
      <w:pPr>
        <w:pStyle w:val="ListParagraph"/>
        <w:numPr>
          <w:ilvl w:val="0"/>
          <w:numId w:val="1"/>
        </w:numPr>
        <w:autoSpaceDE w:val="0"/>
        <w:autoSpaceDN w:val="0"/>
        <w:adjustRightInd w:val="0"/>
        <w:spacing w:after="0" w:line="240" w:lineRule="auto"/>
        <w:ind w:left="900" w:right="620" w:hanging="540"/>
        <w:jc w:val="both"/>
        <w:rPr>
          <w:rFonts w:ascii="Arial" w:hAnsi="Arial" w:cs="Arial"/>
          <w:color w:val="000000"/>
          <w:sz w:val="23"/>
          <w:szCs w:val="23"/>
        </w:rPr>
      </w:pPr>
      <w:r w:rsidRPr="001B1EC2">
        <w:rPr>
          <w:rFonts w:ascii="Arial" w:hAnsi="Arial" w:cs="Arial"/>
          <w:color w:val="000000"/>
          <w:sz w:val="23"/>
          <w:szCs w:val="23"/>
        </w:rPr>
        <w:t>Our Network team will be available to assist with any contract questions</w:t>
      </w:r>
      <w:r w:rsidR="007D379D" w:rsidRPr="001B1EC2">
        <w:rPr>
          <w:rFonts w:ascii="Arial" w:hAnsi="Arial" w:cs="Arial"/>
          <w:color w:val="000000"/>
          <w:sz w:val="23"/>
          <w:szCs w:val="23"/>
        </w:rPr>
        <w:t>.</w:t>
      </w:r>
      <w:r w:rsidRPr="001B1EC2">
        <w:rPr>
          <w:rFonts w:ascii="Arial" w:hAnsi="Arial" w:cs="Arial"/>
          <w:color w:val="000000"/>
          <w:sz w:val="23"/>
          <w:szCs w:val="23"/>
        </w:rPr>
        <w:t xml:space="preserve">  R</w:t>
      </w:r>
      <w:r w:rsidR="001B7D76" w:rsidRPr="001B1EC2">
        <w:rPr>
          <w:rFonts w:ascii="Arial" w:hAnsi="Arial" w:cs="Arial"/>
          <w:color w:val="000000"/>
          <w:sz w:val="23"/>
          <w:szCs w:val="23"/>
        </w:rPr>
        <w:t xml:space="preserve">esponsibilities include educating and servicing physicians, </w:t>
      </w:r>
      <w:r w:rsidRPr="001B1EC2">
        <w:rPr>
          <w:rFonts w:ascii="Arial" w:hAnsi="Arial" w:cs="Arial"/>
          <w:color w:val="000000"/>
          <w:sz w:val="23"/>
          <w:szCs w:val="23"/>
        </w:rPr>
        <w:t xml:space="preserve">and their </w:t>
      </w:r>
      <w:r w:rsidR="001B7D76" w:rsidRPr="001B1EC2">
        <w:rPr>
          <w:rFonts w:ascii="Arial" w:hAnsi="Arial" w:cs="Arial"/>
          <w:color w:val="000000"/>
          <w:sz w:val="23"/>
          <w:szCs w:val="23"/>
        </w:rPr>
        <w:t xml:space="preserve">office staff. </w:t>
      </w:r>
      <w:r w:rsidRPr="001B1EC2">
        <w:rPr>
          <w:rFonts w:ascii="Arial" w:hAnsi="Arial" w:cs="Arial"/>
          <w:color w:val="000000"/>
          <w:sz w:val="23"/>
          <w:szCs w:val="23"/>
        </w:rPr>
        <w:t>We are here to assist with r</w:t>
      </w:r>
      <w:r w:rsidR="001B7D76" w:rsidRPr="001B1EC2">
        <w:rPr>
          <w:rFonts w:ascii="Arial" w:hAnsi="Arial" w:cs="Arial"/>
          <w:color w:val="000000"/>
          <w:sz w:val="23"/>
          <w:szCs w:val="23"/>
        </w:rPr>
        <w:t xml:space="preserve">esolving more complex issues </w:t>
      </w:r>
      <w:r w:rsidR="007D379D" w:rsidRPr="001B1EC2">
        <w:rPr>
          <w:rFonts w:ascii="Arial" w:hAnsi="Arial" w:cs="Arial"/>
          <w:color w:val="000000"/>
          <w:sz w:val="23"/>
          <w:szCs w:val="23"/>
        </w:rPr>
        <w:t>you may have</w:t>
      </w:r>
      <w:r w:rsidR="009D49E1" w:rsidRPr="001B1EC2">
        <w:rPr>
          <w:rFonts w:ascii="Arial" w:hAnsi="Arial" w:cs="Arial"/>
          <w:color w:val="000000"/>
          <w:sz w:val="23"/>
          <w:szCs w:val="23"/>
        </w:rPr>
        <w:t xml:space="preserve"> </w:t>
      </w:r>
      <w:r w:rsidR="001B7D76" w:rsidRPr="001B1EC2">
        <w:rPr>
          <w:rFonts w:ascii="Arial" w:hAnsi="Arial" w:cs="Arial"/>
          <w:color w:val="000000"/>
          <w:sz w:val="23"/>
          <w:szCs w:val="23"/>
        </w:rPr>
        <w:t>related to reimbursement and quality programs</w:t>
      </w:r>
      <w:r w:rsidR="007D379D" w:rsidRPr="001B1EC2">
        <w:rPr>
          <w:rFonts w:ascii="Arial" w:hAnsi="Arial" w:cs="Arial"/>
          <w:color w:val="000000"/>
          <w:sz w:val="23"/>
          <w:szCs w:val="23"/>
        </w:rPr>
        <w:t xml:space="preserve">.  </w:t>
      </w:r>
    </w:p>
    <w:p w:rsidR="007D379D" w:rsidRPr="001B1EC2" w:rsidRDefault="000A1557" w:rsidP="00974434">
      <w:pPr>
        <w:pStyle w:val="ListParagraph"/>
        <w:numPr>
          <w:ilvl w:val="0"/>
          <w:numId w:val="1"/>
        </w:numPr>
        <w:autoSpaceDE w:val="0"/>
        <w:autoSpaceDN w:val="0"/>
        <w:adjustRightInd w:val="0"/>
        <w:spacing w:after="0" w:line="240" w:lineRule="auto"/>
        <w:ind w:left="900" w:right="620" w:hanging="540"/>
        <w:jc w:val="both"/>
        <w:rPr>
          <w:rFonts w:ascii="Arial" w:hAnsi="Arial" w:cs="Arial"/>
          <w:color w:val="000000"/>
          <w:sz w:val="23"/>
          <w:szCs w:val="23"/>
        </w:rPr>
      </w:pPr>
      <w:r w:rsidRPr="001B1EC2">
        <w:rPr>
          <w:rFonts w:ascii="Arial" w:hAnsi="Arial" w:cs="Arial"/>
          <w:color w:val="000000"/>
          <w:sz w:val="23"/>
          <w:szCs w:val="23"/>
        </w:rPr>
        <w:t>Our Referral Staff can assist with Referral and prior authorization submission process, v</w:t>
      </w:r>
      <w:r w:rsidR="001B7D76" w:rsidRPr="001B1EC2">
        <w:rPr>
          <w:rFonts w:ascii="Arial" w:hAnsi="Arial" w:cs="Arial"/>
          <w:color w:val="000000"/>
          <w:sz w:val="23"/>
          <w:szCs w:val="23"/>
        </w:rPr>
        <w:t>erifying member eligibility</w:t>
      </w:r>
      <w:r w:rsidR="007D379D" w:rsidRPr="001B1EC2">
        <w:rPr>
          <w:rFonts w:ascii="Arial" w:hAnsi="Arial" w:cs="Arial"/>
          <w:color w:val="000000"/>
          <w:sz w:val="23"/>
          <w:szCs w:val="23"/>
        </w:rPr>
        <w:t>, helping you to obtain UM criteria, etc.</w:t>
      </w:r>
      <w:r w:rsidR="001B7D76" w:rsidRPr="001B1EC2">
        <w:rPr>
          <w:rFonts w:ascii="Arial" w:hAnsi="Arial" w:cs="Arial"/>
          <w:color w:val="000000"/>
          <w:sz w:val="23"/>
          <w:szCs w:val="23"/>
        </w:rPr>
        <w:t xml:space="preserve"> </w:t>
      </w:r>
    </w:p>
    <w:p w:rsidR="005C76EF" w:rsidRDefault="000A1557" w:rsidP="00974434">
      <w:pPr>
        <w:pStyle w:val="ListParagraph"/>
        <w:numPr>
          <w:ilvl w:val="0"/>
          <w:numId w:val="1"/>
        </w:numPr>
        <w:autoSpaceDE w:val="0"/>
        <w:autoSpaceDN w:val="0"/>
        <w:adjustRightInd w:val="0"/>
        <w:spacing w:after="0" w:line="240" w:lineRule="auto"/>
        <w:ind w:left="900" w:right="620" w:hanging="540"/>
        <w:jc w:val="both"/>
        <w:rPr>
          <w:rFonts w:ascii="Arial" w:hAnsi="Arial" w:cs="Arial"/>
          <w:color w:val="000000"/>
          <w:sz w:val="23"/>
          <w:szCs w:val="23"/>
        </w:rPr>
      </w:pPr>
      <w:r w:rsidRPr="001B1EC2">
        <w:rPr>
          <w:rFonts w:ascii="Arial" w:hAnsi="Arial" w:cs="Arial"/>
          <w:color w:val="000000"/>
          <w:sz w:val="23"/>
          <w:szCs w:val="23"/>
        </w:rPr>
        <w:t xml:space="preserve">Claims are currently paid by the Health Plan although we are contracting with </w:t>
      </w:r>
      <w:r w:rsidR="0027687C">
        <w:rPr>
          <w:rFonts w:ascii="Arial" w:hAnsi="Arial" w:cs="Arial"/>
          <w:color w:val="000000"/>
          <w:sz w:val="23"/>
          <w:szCs w:val="23"/>
        </w:rPr>
        <w:t xml:space="preserve">Innovista Health </w:t>
      </w:r>
      <w:proofErr w:type="gramStart"/>
      <w:r w:rsidR="0027687C">
        <w:rPr>
          <w:rFonts w:ascii="Arial" w:hAnsi="Arial" w:cs="Arial"/>
          <w:color w:val="000000"/>
          <w:sz w:val="23"/>
          <w:szCs w:val="23"/>
        </w:rPr>
        <w:t xml:space="preserve">Solutions </w:t>
      </w:r>
      <w:r w:rsidR="009D49E1" w:rsidRPr="001B1EC2">
        <w:rPr>
          <w:rFonts w:ascii="Arial" w:hAnsi="Arial" w:cs="Arial"/>
          <w:color w:val="000000"/>
          <w:sz w:val="23"/>
          <w:szCs w:val="23"/>
        </w:rPr>
        <w:t xml:space="preserve"> (</w:t>
      </w:r>
      <w:proofErr w:type="gramEnd"/>
      <w:r w:rsidRPr="001B1EC2">
        <w:rPr>
          <w:rFonts w:ascii="Arial" w:hAnsi="Arial" w:cs="Arial"/>
          <w:color w:val="000000"/>
          <w:sz w:val="23"/>
          <w:szCs w:val="23"/>
        </w:rPr>
        <w:t>TPA</w:t>
      </w:r>
      <w:r w:rsidR="009D49E1" w:rsidRPr="001B1EC2">
        <w:rPr>
          <w:rFonts w:ascii="Arial" w:hAnsi="Arial" w:cs="Arial"/>
          <w:color w:val="000000"/>
          <w:sz w:val="23"/>
          <w:szCs w:val="23"/>
        </w:rPr>
        <w:t>)</w:t>
      </w:r>
      <w:r w:rsidRPr="001B1EC2">
        <w:rPr>
          <w:rFonts w:ascii="Arial" w:hAnsi="Arial" w:cs="Arial"/>
          <w:color w:val="000000"/>
          <w:sz w:val="23"/>
          <w:szCs w:val="23"/>
        </w:rPr>
        <w:t xml:space="preserve"> and </w:t>
      </w:r>
      <w:r w:rsidR="0027687C">
        <w:rPr>
          <w:rFonts w:ascii="Arial" w:hAnsi="Arial" w:cs="Arial"/>
          <w:color w:val="000000"/>
          <w:sz w:val="23"/>
          <w:szCs w:val="23"/>
        </w:rPr>
        <w:t xml:space="preserve">will begin paying claims for Amerigroup patients assigned to a Gonzaba Medical Group PCP effective July 1, 2019.  </w:t>
      </w:r>
    </w:p>
    <w:p w:rsidR="00636C38" w:rsidRDefault="00636C38" w:rsidP="00974434">
      <w:pPr>
        <w:pStyle w:val="ListParagraph"/>
        <w:numPr>
          <w:ilvl w:val="0"/>
          <w:numId w:val="1"/>
        </w:numPr>
        <w:autoSpaceDE w:val="0"/>
        <w:autoSpaceDN w:val="0"/>
        <w:adjustRightInd w:val="0"/>
        <w:spacing w:after="0" w:line="240" w:lineRule="auto"/>
        <w:ind w:left="900" w:right="620" w:hanging="540"/>
        <w:jc w:val="both"/>
        <w:rPr>
          <w:rFonts w:ascii="Arial" w:hAnsi="Arial" w:cs="Arial"/>
          <w:color w:val="000000"/>
          <w:sz w:val="23"/>
          <w:szCs w:val="23"/>
        </w:rPr>
      </w:pPr>
      <w:r>
        <w:rPr>
          <w:rFonts w:ascii="Arial" w:hAnsi="Arial" w:cs="Arial"/>
          <w:color w:val="000000"/>
          <w:sz w:val="23"/>
          <w:szCs w:val="23"/>
        </w:rPr>
        <w:t xml:space="preserve">Our Provider Relations Staff can assist with any issue, serving as a liaison with your office/organization and GMG entities.  </w:t>
      </w:r>
    </w:p>
    <w:p w:rsidR="000A1557" w:rsidRPr="001B1EC2" w:rsidRDefault="000A1557" w:rsidP="00636C38">
      <w:pPr>
        <w:pStyle w:val="ListParagraph"/>
        <w:autoSpaceDE w:val="0"/>
        <w:autoSpaceDN w:val="0"/>
        <w:adjustRightInd w:val="0"/>
        <w:spacing w:after="0" w:line="240" w:lineRule="auto"/>
        <w:ind w:left="900" w:right="620"/>
        <w:jc w:val="both"/>
        <w:rPr>
          <w:rFonts w:ascii="Arial" w:hAnsi="Arial" w:cs="Arial"/>
          <w:color w:val="000000"/>
          <w:sz w:val="23"/>
          <w:szCs w:val="23"/>
        </w:rPr>
      </w:pPr>
      <w:r w:rsidRPr="001B1EC2">
        <w:rPr>
          <w:rFonts w:ascii="Arial" w:hAnsi="Arial" w:cs="Arial"/>
          <w:color w:val="000000"/>
          <w:sz w:val="23"/>
          <w:szCs w:val="23"/>
        </w:rPr>
        <w:t>.</w:t>
      </w:r>
    </w:p>
    <w:p w:rsidR="001B7D76" w:rsidRPr="001B1EC2" w:rsidRDefault="001B7D76" w:rsidP="001B7D76">
      <w:pPr>
        <w:autoSpaceDE w:val="0"/>
        <w:autoSpaceDN w:val="0"/>
        <w:adjustRightInd w:val="0"/>
        <w:spacing w:after="0" w:line="240" w:lineRule="auto"/>
        <w:rPr>
          <w:rFonts w:ascii="Arial" w:hAnsi="Arial" w:cs="Arial"/>
          <w:color w:val="000000"/>
          <w:sz w:val="23"/>
          <w:szCs w:val="23"/>
        </w:rPr>
      </w:pPr>
    </w:p>
    <w:p w:rsidR="00DE02EE" w:rsidRPr="00974434" w:rsidRDefault="00DE02EE" w:rsidP="00145356">
      <w:pPr>
        <w:pStyle w:val="Heading1"/>
        <w:rPr>
          <w:sz w:val="24"/>
          <w:szCs w:val="24"/>
        </w:rPr>
      </w:pPr>
      <w:bookmarkStart w:id="2" w:name="_Toc10792051"/>
      <w:r w:rsidRPr="00C93CAE">
        <w:t>Participating Provider Responsibilities</w:t>
      </w:r>
      <w:bookmarkEnd w:id="2"/>
    </w:p>
    <w:p w:rsidR="00DE02EE" w:rsidRPr="00DE02EE" w:rsidRDefault="00DE02E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DE02EE">
        <w:rPr>
          <w:rFonts w:ascii="Arial" w:hAnsi="Arial" w:cs="Arial"/>
          <w:color w:val="000000"/>
          <w:sz w:val="23"/>
          <w:szCs w:val="23"/>
        </w:rPr>
        <w:t xml:space="preserve">Manage the medical and health care needs of </w:t>
      </w:r>
      <w:r w:rsidR="00C93CAE" w:rsidRPr="00974434">
        <w:rPr>
          <w:rFonts w:ascii="Arial" w:hAnsi="Arial" w:cs="Arial"/>
          <w:color w:val="000000"/>
          <w:sz w:val="23"/>
          <w:szCs w:val="23"/>
        </w:rPr>
        <w:t xml:space="preserve">health plan </w:t>
      </w:r>
      <w:r w:rsidRPr="00974434">
        <w:rPr>
          <w:rFonts w:ascii="Arial" w:hAnsi="Arial" w:cs="Arial"/>
          <w:color w:val="000000"/>
          <w:sz w:val="23"/>
          <w:szCs w:val="23"/>
        </w:rPr>
        <w:t>members</w:t>
      </w:r>
      <w:r w:rsidR="00C93CAE" w:rsidRPr="00974434">
        <w:rPr>
          <w:rFonts w:ascii="Arial" w:hAnsi="Arial" w:cs="Arial"/>
          <w:color w:val="000000"/>
          <w:sz w:val="23"/>
          <w:szCs w:val="23"/>
        </w:rPr>
        <w:t>/patients</w:t>
      </w:r>
      <w:r w:rsidRPr="00974434">
        <w:rPr>
          <w:rFonts w:ascii="Arial" w:hAnsi="Arial" w:cs="Arial"/>
          <w:color w:val="000000"/>
          <w:sz w:val="23"/>
          <w:szCs w:val="23"/>
        </w:rPr>
        <w:t>,</w:t>
      </w:r>
      <w:r w:rsidRPr="00DE02EE">
        <w:rPr>
          <w:rFonts w:ascii="Arial" w:hAnsi="Arial" w:cs="Arial"/>
          <w:color w:val="000000"/>
          <w:sz w:val="23"/>
          <w:szCs w:val="23"/>
        </w:rPr>
        <w:t xml:space="preserve"> including monitoring and following up on care provided by other providers, providing coordination necessary for services provided by specialists and ancillary providers (both in and out-of-network), and maintaining a </w:t>
      </w:r>
      <w:proofErr w:type="gramStart"/>
      <w:r w:rsidRPr="00DE02EE">
        <w:rPr>
          <w:rFonts w:ascii="Arial" w:hAnsi="Arial" w:cs="Arial"/>
          <w:color w:val="000000"/>
          <w:sz w:val="23"/>
          <w:szCs w:val="23"/>
        </w:rPr>
        <w:t xml:space="preserve">medical record meeting </w:t>
      </w:r>
      <w:r w:rsidR="00C93CAE">
        <w:rPr>
          <w:rFonts w:ascii="Arial" w:hAnsi="Arial" w:cs="Arial"/>
          <w:color w:val="000000"/>
          <w:sz w:val="23"/>
          <w:szCs w:val="23"/>
        </w:rPr>
        <w:t>GMG</w:t>
      </w:r>
      <w:r w:rsidRPr="00DE02EE">
        <w:rPr>
          <w:rFonts w:ascii="Arial" w:hAnsi="Arial" w:cs="Arial"/>
          <w:color w:val="000000"/>
          <w:sz w:val="23"/>
          <w:szCs w:val="23"/>
        </w:rPr>
        <w:t xml:space="preserve"> standards</w:t>
      </w:r>
      <w:proofErr w:type="gramEnd"/>
    </w:p>
    <w:p w:rsidR="00DE02EE" w:rsidRPr="00DE02EE" w:rsidRDefault="00DE02E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DE02EE">
        <w:rPr>
          <w:rFonts w:ascii="Arial" w:hAnsi="Arial" w:cs="Arial"/>
          <w:color w:val="000000"/>
          <w:sz w:val="23"/>
          <w:szCs w:val="23"/>
        </w:rPr>
        <w:t xml:space="preserve">Provide coverage 24 hours a day, 7 days a week; regular hours of operation should be clearly defined and communicated to </w:t>
      </w:r>
      <w:r w:rsidR="00C93CAE">
        <w:rPr>
          <w:rFonts w:ascii="Arial" w:hAnsi="Arial" w:cs="Arial"/>
          <w:color w:val="000000"/>
          <w:sz w:val="23"/>
          <w:szCs w:val="23"/>
        </w:rPr>
        <w:t>health plan members/patients</w:t>
      </w:r>
    </w:p>
    <w:p w:rsidR="00FC2733" w:rsidRPr="00C93CAE" w:rsidRDefault="00DE02E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DE02EE">
        <w:rPr>
          <w:rFonts w:ascii="Arial" w:hAnsi="Arial" w:cs="Arial"/>
          <w:color w:val="000000"/>
          <w:sz w:val="23"/>
          <w:szCs w:val="23"/>
        </w:rPr>
        <w:t>Provide all services</w:t>
      </w:r>
      <w:r w:rsidR="00FC2733">
        <w:rPr>
          <w:rFonts w:ascii="Arial" w:hAnsi="Arial" w:cs="Arial"/>
          <w:color w:val="000000"/>
          <w:sz w:val="23"/>
          <w:szCs w:val="23"/>
        </w:rPr>
        <w:t xml:space="preserve"> and treat all patient</w:t>
      </w:r>
      <w:r w:rsidRPr="00DE02EE">
        <w:rPr>
          <w:rFonts w:ascii="Arial" w:hAnsi="Arial" w:cs="Arial"/>
          <w:color w:val="000000"/>
          <w:sz w:val="23"/>
          <w:szCs w:val="23"/>
        </w:rPr>
        <w:t xml:space="preserve"> ethically, legally and in a culturally competent manner, </w:t>
      </w:r>
      <w:r w:rsidR="00FC2733" w:rsidRPr="00C93CAE">
        <w:rPr>
          <w:rFonts w:ascii="Arial" w:hAnsi="Arial" w:cs="Arial"/>
          <w:color w:val="000000"/>
          <w:sz w:val="23"/>
          <w:szCs w:val="23"/>
        </w:rPr>
        <w:t xml:space="preserve">and treat </w:t>
      </w:r>
      <w:r w:rsidR="00FC2733">
        <w:rPr>
          <w:rFonts w:ascii="Arial" w:hAnsi="Arial" w:cs="Arial"/>
          <w:color w:val="000000"/>
          <w:sz w:val="23"/>
          <w:szCs w:val="23"/>
        </w:rPr>
        <w:t>patient</w:t>
      </w:r>
      <w:r w:rsidR="00FC2733" w:rsidRPr="00C93CAE">
        <w:rPr>
          <w:rFonts w:ascii="Arial" w:hAnsi="Arial" w:cs="Arial"/>
          <w:color w:val="000000"/>
          <w:sz w:val="23"/>
          <w:szCs w:val="23"/>
        </w:rPr>
        <w:t xml:space="preserve"> disclosures and records confidentially, </w:t>
      </w:r>
      <w:r w:rsidR="00FC2733">
        <w:rPr>
          <w:rFonts w:ascii="Arial" w:hAnsi="Arial" w:cs="Arial"/>
          <w:color w:val="000000"/>
          <w:sz w:val="23"/>
          <w:szCs w:val="23"/>
        </w:rPr>
        <w:t>patients</w:t>
      </w:r>
      <w:r w:rsidR="00FC2733" w:rsidRPr="00C93CAE">
        <w:rPr>
          <w:rFonts w:ascii="Arial" w:hAnsi="Arial" w:cs="Arial"/>
          <w:color w:val="000000"/>
          <w:sz w:val="23"/>
          <w:szCs w:val="23"/>
        </w:rPr>
        <w:t xml:space="preserve"> the opportunity to approve or refuse their release</w:t>
      </w:r>
    </w:p>
    <w:p w:rsidR="00DE02EE" w:rsidRPr="00DE02EE" w:rsidRDefault="00DE02E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DE02EE">
        <w:rPr>
          <w:rFonts w:ascii="Arial" w:hAnsi="Arial" w:cs="Arial"/>
          <w:color w:val="000000"/>
          <w:sz w:val="23"/>
          <w:szCs w:val="23"/>
        </w:rPr>
        <w:t xml:space="preserve">and meet the unique needs of </w:t>
      </w:r>
      <w:r w:rsidR="00C93CAE">
        <w:rPr>
          <w:rFonts w:ascii="Arial" w:hAnsi="Arial" w:cs="Arial"/>
          <w:color w:val="000000"/>
          <w:sz w:val="23"/>
          <w:szCs w:val="23"/>
        </w:rPr>
        <w:t>health plan members/patients</w:t>
      </w:r>
      <w:r w:rsidRPr="00DE02EE">
        <w:rPr>
          <w:rFonts w:ascii="Arial" w:hAnsi="Arial" w:cs="Arial"/>
          <w:color w:val="000000"/>
          <w:sz w:val="23"/>
          <w:szCs w:val="23"/>
        </w:rPr>
        <w:t xml:space="preserve"> with special health care needs</w:t>
      </w:r>
    </w:p>
    <w:p w:rsidR="00FC2733" w:rsidRPr="00C93CAE" w:rsidRDefault="00DE02E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DE02EE">
        <w:rPr>
          <w:rFonts w:ascii="Arial" w:hAnsi="Arial" w:cs="Arial"/>
          <w:color w:val="000000"/>
          <w:sz w:val="23"/>
          <w:szCs w:val="23"/>
        </w:rPr>
        <w:t xml:space="preserve">Participate in systems established by </w:t>
      </w:r>
      <w:r w:rsidR="00C93CAE">
        <w:rPr>
          <w:rFonts w:ascii="Arial" w:hAnsi="Arial" w:cs="Arial"/>
          <w:color w:val="000000"/>
          <w:sz w:val="23"/>
          <w:szCs w:val="23"/>
        </w:rPr>
        <w:t>GMG</w:t>
      </w:r>
      <w:r w:rsidRPr="00DE02EE">
        <w:rPr>
          <w:rFonts w:ascii="Arial" w:hAnsi="Arial" w:cs="Arial"/>
          <w:color w:val="000000"/>
          <w:sz w:val="23"/>
          <w:szCs w:val="23"/>
        </w:rPr>
        <w:t xml:space="preserve"> to facilitate the sharing of records, subject to applicable confidentiality and HIPAA requirements</w:t>
      </w:r>
      <w:r w:rsidR="00FC2733">
        <w:rPr>
          <w:rFonts w:ascii="Arial" w:hAnsi="Arial" w:cs="Arial"/>
          <w:color w:val="000000"/>
          <w:sz w:val="23"/>
          <w:szCs w:val="23"/>
        </w:rPr>
        <w:t xml:space="preserve"> and</w:t>
      </w:r>
      <w:r w:rsidR="00FC2733" w:rsidRPr="00C93CAE">
        <w:rPr>
          <w:rFonts w:ascii="Arial" w:hAnsi="Arial" w:cs="Arial"/>
          <w:color w:val="000000"/>
          <w:sz w:val="23"/>
          <w:szCs w:val="23"/>
        </w:rPr>
        <w:t xml:space="preserve"> with all applicable federal and state laws regarding the confidentiality of patient records</w:t>
      </w:r>
      <w:r w:rsidR="00FC2733">
        <w:rPr>
          <w:rFonts w:ascii="Arial" w:hAnsi="Arial" w:cs="Arial"/>
          <w:color w:val="000000"/>
          <w:sz w:val="23"/>
          <w:szCs w:val="23"/>
        </w:rPr>
        <w:t>.</w:t>
      </w:r>
    </w:p>
    <w:p w:rsidR="00C93CAE" w:rsidRPr="00C93CAE" w:rsidRDefault="00C93CA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C93CAE">
        <w:rPr>
          <w:rFonts w:ascii="Arial" w:hAnsi="Arial" w:cs="Arial"/>
          <w:color w:val="000000"/>
          <w:sz w:val="23"/>
          <w:szCs w:val="23"/>
        </w:rPr>
        <w:t xml:space="preserve">Make provisions to communicate in the language or fashion primarily used by his or her </w:t>
      </w:r>
      <w:r>
        <w:rPr>
          <w:rFonts w:ascii="Arial" w:hAnsi="Arial" w:cs="Arial"/>
          <w:color w:val="000000"/>
          <w:sz w:val="23"/>
          <w:szCs w:val="23"/>
        </w:rPr>
        <w:t>patients</w:t>
      </w:r>
      <w:r w:rsidRPr="00C93CAE">
        <w:rPr>
          <w:rFonts w:ascii="Arial" w:hAnsi="Arial" w:cs="Arial"/>
          <w:color w:val="000000"/>
          <w:sz w:val="23"/>
          <w:szCs w:val="23"/>
        </w:rPr>
        <w:t xml:space="preserve"> </w:t>
      </w:r>
    </w:p>
    <w:p w:rsidR="00C93CAE" w:rsidRPr="00C93CAE" w:rsidRDefault="00C93CA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C93CAE">
        <w:rPr>
          <w:rFonts w:ascii="Arial" w:hAnsi="Arial" w:cs="Arial"/>
          <w:color w:val="000000"/>
          <w:sz w:val="23"/>
          <w:szCs w:val="23"/>
        </w:rPr>
        <w:lastRenderedPageBreak/>
        <w:t xml:space="preserve">Provide hearing interpreter services upon request to </w:t>
      </w:r>
      <w:r>
        <w:rPr>
          <w:rFonts w:ascii="Arial" w:hAnsi="Arial" w:cs="Arial"/>
          <w:color w:val="000000"/>
          <w:sz w:val="23"/>
          <w:szCs w:val="23"/>
        </w:rPr>
        <w:t>health plan members/patients</w:t>
      </w:r>
      <w:r w:rsidRPr="00C93CAE">
        <w:rPr>
          <w:rFonts w:ascii="Arial" w:hAnsi="Arial" w:cs="Arial"/>
          <w:color w:val="000000"/>
          <w:sz w:val="23"/>
          <w:szCs w:val="23"/>
        </w:rPr>
        <w:t xml:space="preserve"> who are deaf or hard of hearing </w:t>
      </w:r>
    </w:p>
    <w:p w:rsidR="00C93CAE" w:rsidRPr="00C93CAE" w:rsidRDefault="00C93CA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C93CAE">
        <w:rPr>
          <w:rFonts w:ascii="Arial" w:hAnsi="Arial" w:cs="Arial"/>
          <w:color w:val="000000"/>
          <w:sz w:val="23"/>
          <w:szCs w:val="23"/>
        </w:rPr>
        <w:t xml:space="preserve">Participate in and cooperate with </w:t>
      </w:r>
      <w:r>
        <w:rPr>
          <w:rFonts w:ascii="Arial" w:hAnsi="Arial" w:cs="Arial"/>
          <w:color w:val="000000"/>
          <w:sz w:val="23"/>
          <w:szCs w:val="23"/>
        </w:rPr>
        <w:t>GMG</w:t>
      </w:r>
      <w:r w:rsidRPr="00C93CAE">
        <w:rPr>
          <w:rFonts w:ascii="Arial" w:hAnsi="Arial" w:cs="Arial"/>
          <w:color w:val="000000"/>
          <w:sz w:val="23"/>
          <w:szCs w:val="23"/>
        </w:rPr>
        <w:t xml:space="preserve"> in any reasonable internal and external quality assurance, utilization review, continuing education and other similar programs established by </w:t>
      </w:r>
      <w:r>
        <w:rPr>
          <w:rFonts w:ascii="Arial" w:hAnsi="Arial" w:cs="Arial"/>
          <w:color w:val="000000"/>
          <w:sz w:val="23"/>
          <w:szCs w:val="23"/>
        </w:rPr>
        <w:t>GMG</w:t>
      </w:r>
      <w:r w:rsidRPr="00C93CAE">
        <w:rPr>
          <w:rFonts w:ascii="Arial" w:hAnsi="Arial" w:cs="Arial"/>
          <w:color w:val="000000"/>
          <w:sz w:val="23"/>
          <w:szCs w:val="23"/>
        </w:rPr>
        <w:t xml:space="preserve"> </w:t>
      </w:r>
    </w:p>
    <w:p w:rsidR="00C93CAE" w:rsidRPr="00C93CAE" w:rsidRDefault="00C93CA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C93CAE">
        <w:rPr>
          <w:rFonts w:ascii="Arial" w:hAnsi="Arial" w:cs="Arial"/>
          <w:color w:val="000000"/>
          <w:sz w:val="23"/>
          <w:szCs w:val="23"/>
        </w:rPr>
        <w:t xml:space="preserve">Comply with Medicare laws, regulations and CMS instructions, agree to audits and inspections by CMS and/or its designees, cooperate, assist and provide information as requested, and maintain records for a minimum of 10 years </w:t>
      </w:r>
    </w:p>
    <w:p w:rsidR="00C93CAE" w:rsidRPr="00C93CAE" w:rsidRDefault="00C93CA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C93CAE">
        <w:rPr>
          <w:rFonts w:ascii="Arial" w:hAnsi="Arial" w:cs="Arial"/>
          <w:color w:val="000000"/>
          <w:sz w:val="23"/>
          <w:szCs w:val="23"/>
        </w:rPr>
        <w:t xml:space="preserve">Participate in and cooperate with the </w:t>
      </w:r>
      <w:r>
        <w:rPr>
          <w:rFonts w:ascii="Arial" w:hAnsi="Arial" w:cs="Arial"/>
          <w:color w:val="000000"/>
          <w:sz w:val="23"/>
          <w:szCs w:val="23"/>
        </w:rPr>
        <w:t>GMG</w:t>
      </w:r>
      <w:r w:rsidRPr="00C93CAE">
        <w:rPr>
          <w:rFonts w:ascii="Arial" w:hAnsi="Arial" w:cs="Arial"/>
          <w:color w:val="000000"/>
          <w:sz w:val="23"/>
          <w:szCs w:val="23"/>
        </w:rPr>
        <w:t xml:space="preserve"> appeal and grievance procedures </w:t>
      </w:r>
    </w:p>
    <w:p w:rsidR="00FC2733" w:rsidRDefault="00C93CA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FC2733">
        <w:rPr>
          <w:rFonts w:ascii="Arial" w:hAnsi="Arial" w:cs="Arial"/>
          <w:color w:val="000000"/>
          <w:sz w:val="23"/>
          <w:szCs w:val="23"/>
        </w:rPr>
        <w:t>Agree to not balance bill health plan members/patients for monies that are not their responsibility or that should be paid for by another carrier</w:t>
      </w:r>
      <w:r w:rsidR="00FC2733" w:rsidRPr="00FC2733">
        <w:rPr>
          <w:rFonts w:ascii="Arial" w:hAnsi="Arial" w:cs="Arial"/>
          <w:color w:val="000000"/>
          <w:sz w:val="23"/>
          <w:szCs w:val="23"/>
        </w:rPr>
        <w:t>.</w:t>
      </w:r>
      <w:r w:rsidRPr="00FC2733">
        <w:rPr>
          <w:rFonts w:ascii="Arial" w:hAnsi="Arial" w:cs="Arial"/>
          <w:color w:val="000000"/>
          <w:sz w:val="23"/>
          <w:szCs w:val="23"/>
        </w:rPr>
        <w:t xml:space="preserve"> </w:t>
      </w:r>
    </w:p>
    <w:p w:rsidR="00C93CAE" w:rsidRPr="00FC2733" w:rsidRDefault="00C93CA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FC2733">
        <w:rPr>
          <w:rFonts w:ascii="Arial" w:hAnsi="Arial" w:cs="Arial"/>
          <w:color w:val="000000"/>
          <w:sz w:val="23"/>
          <w:szCs w:val="23"/>
        </w:rPr>
        <w:t xml:space="preserve">Continue care in progress during and after termination of a </w:t>
      </w:r>
      <w:r w:rsidR="00A34902" w:rsidRPr="00FC2733">
        <w:rPr>
          <w:rFonts w:ascii="Arial" w:hAnsi="Arial" w:cs="Arial"/>
          <w:color w:val="000000"/>
          <w:sz w:val="23"/>
          <w:szCs w:val="23"/>
        </w:rPr>
        <w:t>health plan member/patient</w:t>
      </w:r>
      <w:r w:rsidRPr="00FC2733">
        <w:rPr>
          <w:rFonts w:ascii="Arial" w:hAnsi="Arial" w:cs="Arial"/>
          <w:color w:val="000000"/>
          <w:sz w:val="23"/>
          <w:szCs w:val="23"/>
        </w:rPr>
        <w:t xml:space="preserve">’s contract for up to 60 days, or such longer </w:t>
      </w:r>
      <w:proofErr w:type="gramStart"/>
      <w:r w:rsidRPr="00FC2733">
        <w:rPr>
          <w:rFonts w:ascii="Arial" w:hAnsi="Arial" w:cs="Arial"/>
          <w:color w:val="000000"/>
          <w:sz w:val="23"/>
          <w:szCs w:val="23"/>
        </w:rPr>
        <w:t>period of time</w:t>
      </w:r>
      <w:proofErr w:type="gramEnd"/>
      <w:r w:rsidRPr="00FC2733">
        <w:rPr>
          <w:rFonts w:ascii="Arial" w:hAnsi="Arial" w:cs="Arial"/>
          <w:color w:val="000000"/>
          <w:sz w:val="23"/>
          <w:szCs w:val="23"/>
        </w:rPr>
        <w:t xml:space="preserve"> required by state laws and regulations, until a continuity of service plan is in place to transition the </w:t>
      </w:r>
      <w:r w:rsidR="00A34902" w:rsidRPr="00FC2733">
        <w:rPr>
          <w:rFonts w:ascii="Arial" w:hAnsi="Arial" w:cs="Arial"/>
          <w:color w:val="000000"/>
          <w:sz w:val="23"/>
          <w:szCs w:val="23"/>
        </w:rPr>
        <w:t>health plan member/patient</w:t>
      </w:r>
      <w:r w:rsidRPr="00FC2733">
        <w:rPr>
          <w:rFonts w:ascii="Arial" w:hAnsi="Arial" w:cs="Arial"/>
          <w:color w:val="000000"/>
          <w:sz w:val="23"/>
          <w:szCs w:val="23"/>
        </w:rPr>
        <w:t xml:space="preserve"> to another network provider in accordance with applicable state laws and regulations </w:t>
      </w:r>
    </w:p>
    <w:p w:rsidR="00C93CAE" w:rsidRPr="00C93CAE" w:rsidRDefault="00C93CA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C93CAE">
        <w:rPr>
          <w:rFonts w:ascii="Arial" w:hAnsi="Arial" w:cs="Arial"/>
          <w:color w:val="000000"/>
          <w:sz w:val="23"/>
          <w:szCs w:val="23"/>
        </w:rPr>
        <w:t xml:space="preserve">Develop and have an exposure control plan in compliance with Occupational Safety and Health Administration (OSHA) standards regarding blood-borne pathogens </w:t>
      </w:r>
    </w:p>
    <w:p w:rsidR="00C93CAE" w:rsidRPr="00C93CAE" w:rsidRDefault="00C93CA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C93CAE">
        <w:rPr>
          <w:rFonts w:ascii="Arial" w:hAnsi="Arial" w:cs="Arial"/>
          <w:color w:val="000000"/>
          <w:sz w:val="23"/>
          <w:szCs w:val="23"/>
        </w:rPr>
        <w:t>Establish an appropriate mechanism to fulfill obligations under the Americans with Disabilities Act of 1990 (ADA)</w:t>
      </w:r>
    </w:p>
    <w:p w:rsidR="00C93CAE" w:rsidRPr="00C93CAE" w:rsidRDefault="00C93CA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C93CAE">
        <w:rPr>
          <w:rFonts w:ascii="Arial" w:hAnsi="Arial" w:cs="Arial"/>
          <w:color w:val="000000"/>
          <w:sz w:val="23"/>
          <w:szCs w:val="23"/>
        </w:rPr>
        <w:t xml:space="preserve">Support, cooperate and comply with </w:t>
      </w:r>
      <w:r>
        <w:rPr>
          <w:rFonts w:ascii="Arial" w:hAnsi="Arial" w:cs="Arial"/>
          <w:color w:val="000000"/>
          <w:sz w:val="23"/>
          <w:szCs w:val="23"/>
        </w:rPr>
        <w:t>GMG</w:t>
      </w:r>
      <w:r w:rsidRPr="00C93CAE">
        <w:rPr>
          <w:rFonts w:ascii="Arial" w:hAnsi="Arial" w:cs="Arial"/>
          <w:color w:val="000000"/>
          <w:sz w:val="23"/>
          <w:szCs w:val="23"/>
        </w:rPr>
        <w:t xml:space="preserve"> Quality Improvement program initiatives and any related policies and procedures to provide quality care in a cost-effective and reasonable manner</w:t>
      </w:r>
    </w:p>
    <w:p w:rsidR="00C93CAE" w:rsidRPr="00C93CAE" w:rsidRDefault="00C93CA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C93CAE">
        <w:rPr>
          <w:rFonts w:ascii="Arial" w:hAnsi="Arial" w:cs="Arial"/>
          <w:color w:val="000000"/>
          <w:sz w:val="23"/>
          <w:szCs w:val="23"/>
        </w:rPr>
        <w:t xml:space="preserve">Inform </w:t>
      </w:r>
      <w:r>
        <w:rPr>
          <w:rFonts w:ascii="Arial" w:hAnsi="Arial" w:cs="Arial"/>
          <w:color w:val="000000"/>
          <w:sz w:val="23"/>
          <w:szCs w:val="23"/>
        </w:rPr>
        <w:t>GMG</w:t>
      </w:r>
      <w:r w:rsidRPr="00C93CAE">
        <w:rPr>
          <w:rFonts w:ascii="Arial" w:hAnsi="Arial" w:cs="Arial"/>
          <w:color w:val="000000"/>
          <w:sz w:val="23"/>
          <w:szCs w:val="23"/>
        </w:rPr>
        <w:t xml:space="preserve"> if a </w:t>
      </w:r>
      <w:r w:rsidR="00A34902">
        <w:rPr>
          <w:rFonts w:ascii="Arial" w:hAnsi="Arial" w:cs="Arial"/>
          <w:color w:val="000000"/>
          <w:sz w:val="23"/>
          <w:szCs w:val="23"/>
        </w:rPr>
        <w:t>health plan member/patient</w:t>
      </w:r>
      <w:r w:rsidRPr="00C93CAE">
        <w:rPr>
          <w:rFonts w:ascii="Arial" w:hAnsi="Arial" w:cs="Arial"/>
          <w:color w:val="000000"/>
          <w:sz w:val="23"/>
          <w:szCs w:val="23"/>
        </w:rPr>
        <w:t xml:space="preserve"> objects to the provisions of any counseling, treatments or referral services for religious reasons</w:t>
      </w:r>
    </w:p>
    <w:p w:rsidR="00C93CAE" w:rsidRPr="00C93CAE" w:rsidRDefault="00C93CA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C93CAE">
        <w:rPr>
          <w:rFonts w:ascii="Arial" w:hAnsi="Arial" w:cs="Arial"/>
          <w:color w:val="000000"/>
          <w:sz w:val="23"/>
          <w:szCs w:val="23"/>
        </w:rPr>
        <w:t xml:space="preserve">Provide </w:t>
      </w:r>
      <w:r w:rsidR="00A34902">
        <w:rPr>
          <w:rFonts w:ascii="Arial" w:hAnsi="Arial" w:cs="Arial"/>
          <w:color w:val="000000"/>
          <w:sz w:val="23"/>
          <w:szCs w:val="23"/>
        </w:rPr>
        <w:t>health plan members/patients</w:t>
      </w:r>
      <w:r w:rsidRPr="00C93CAE">
        <w:rPr>
          <w:rFonts w:ascii="Arial" w:hAnsi="Arial" w:cs="Arial"/>
          <w:color w:val="000000"/>
          <w:sz w:val="23"/>
          <w:szCs w:val="23"/>
        </w:rPr>
        <w:t xml:space="preserve"> complete information concerning their diagnosis, evaluation, treatment and prognosis and give them the opportunity to participate in decisions involving their health care, except when contraindicated for medical reasons</w:t>
      </w:r>
    </w:p>
    <w:p w:rsidR="00C93CAE" w:rsidRPr="00C93CAE" w:rsidRDefault="00C93CA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C93CAE">
        <w:rPr>
          <w:rFonts w:ascii="Arial" w:hAnsi="Arial" w:cs="Arial"/>
          <w:color w:val="000000"/>
          <w:sz w:val="23"/>
          <w:szCs w:val="23"/>
        </w:rPr>
        <w:t xml:space="preserve">Advise </w:t>
      </w:r>
      <w:r w:rsidR="00A34902">
        <w:rPr>
          <w:rFonts w:ascii="Arial" w:hAnsi="Arial" w:cs="Arial"/>
          <w:color w:val="000000"/>
          <w:sz w:val="23"/>
          <w:szCs w:val="23"/>
        </w:rPr>
        <w:t>health plan members/patients</w:t>
      </w:r>
      <w:r w:rsidRPr="00C93CAE">
        <w:rPr>
          <w:rFonts w:ascii="Arial" w:hAnsi="Arial" w:cs="Arial"/>
          <w:color w:val="000000"/>
          <w:sz w:val="23"/>
          <w:szCs w:val="23"/>
        </w:rPr>
        <w:t xml:space="preserve"> about their health status, medical care or treatment options, regardless of whether benefits for such care are provided under the program and advise them on treatments that may be self-administered</w:t>
      </w:r>
    </w:p>
    <w:p w:rsidR="00C93CAE" w:rsidRPr="00C93CAE" w:rsidRDefault="00C93CA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C93CAE">
        <w:rPr>
          <w:rFonts w:ascii="Arial" w:hAnsi="Arial" w:cs="Arial"/>
          <w:color w:val="000000"/>
          <w:sz w:val="23"/>
          <w:szCs w:val="23"/>
        </w:rPr>
        <w:t xml:space="preserve">When clinically indicated, contact </w:t>
      </w:r>
      <w:r w:rsidR="00A34902">
        <w:rPr>
          <w:rFonts w:ascii="Arial" w:hAnsi="Arial" w:cs="Arial"/>
          <w:color w:val="000000"/>
          <w:sz w:val="23"/>
          <w:szCs w:val="23"/>
        </w:rPr>
        <w:t>health plan members/patients</w:t>
      </w:r>
      <w:r w:rsidRPr="00C93CAE">
        <w:rPr>
          <w:rFonts w:ascii="Arial" w:hAnsi="Arial" w:cs="Arial"/>
          <w:color w:val="000000"/>
          <w:sz w:val="23"/>
          <w:szCs w:val="23"/>
        </w:rPr>
        <w:t xml:space="preserve"> as quickly as possible for follow-up regarding significant problems and/or abnormal laboratory or radiological findings</w:t>
      </w:r>
    </w:p>
    <w:p w:rsidR="00C93CAE" w:rsidRDefault="00C93CA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C93CAE">
        <w:rPr>
          <w:rFonts w:ascii="Arial" w:hAnsi="Arial" w:cs="Arial"/>
          <w:color w:val="000000"/>
          <w:sz w:val="23"/>
          <w:szCs w:val="23"/>
        </w:rPr>
        <w:t>Have a policy and procedure to ensure proper identification, handling, transport, treatment and disposal of hazardous and contaminated materials and wastes to minimize sources and transmission of infection</w:t>
      </w:r>
      <w:r>
        <w:rPr>
          <w:rFonts w:ascii="Arial" w:hAnsi="Arial" w:cs="Arial"/>
          <w:color w:val="000000"/>
          <w:sz w:val="23"/>
          <w:szCs w:val="23"/>
        </w:rPr>
        <w:t>.</w:t>
      </w:r>
    </w:p>
    <w:p w:rsidR="00C93CAE" w:rsidRPr="00C93CAE" w:rsidRDefault="00C93CA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C93CAE">
        <w:rPr>
          <w:rFonts w:ascii="Arial" w:hAnsi="Arial" w:cs="Arial"/>
          <w:color w:val="000000"/>
          <w:sz w:val="23"/>
          <w:szCs w:val="23"/>
        </w:rPr>
        <w:t>Agree to maintain communication with the appropriate agencies such as local police, social services agencies and poison control centers to provide high-quality patient care</w:t>
      </w:r>
    </w:p>
    <w:p w:rsidR="00C93CAE" w:rsidRPr="001B1EC2" w:rsidRDefault="00C93CAE" w:rsidP="0084370E">
      <w:pPr>
        <w:pStyle w:val="ListParagraph"/>
        <w:numPr>
          <w:ilvl w:val="0"/>
          <w:numId w:val="3"/>
        </w:numPr>
        <w:autoSpaceDE w:val="0"/>
        <w:autoSpaceDN w:val="0"/>
        <w:adjustRightInd w:val="0"/>
        <w:spacing w:after="0" w:line="241" w:lineRule="atLeast"/>
        <w:ind w:right="620"/>
        <w:jc w:val="both"/>
        <w:rPr>
          <w:rFonts w:ascii="Arial" w:hAnsi="Arial" w:cs="Arial"/>
          <w:color w:val="000000"/>
          <w:sz w:val="23"/>
          <w:szCs w:val="23"/>
        </w:rPr>
      </w:pPr>
      <w:r w:rsidRPr="00C93CAE">
        <w:rPr>
          <w:rFonts w:ascii="Arial" w:hAnsi="Arial" w:cs="Arial"/>
          <w:color w:val="000000"/>
          <w:sz w:val="23"/>
          <w:szCs w:val="23"/>
        </w:rPr>
        <w:t xml:space="preserve">Provide advanced notification to </w:t>
      </w:r>
      <w:r w:rsidR="00A34902">
        <w:rPr>
          <w:rFonts w:ascii="Arial" w:hAnsi="Arial" w:cs="Arial"/>
          <w:color w:val="000000"/>
          <w:sz w:val="23"/>
          <w:szCs w:val="23"/>
        </w:rPr>
        <w:t>health plan members/patients</w:t>
      </w:r>
      <w:r w:rsidRPr="00C93CAE">
        <w:rPr>
          <w:rFonts w:ascii="Arial" w:hAnsi="Arial" w:cs="Arial"/>
          <w:color w:val="000000"/>
          <w:sz w:val="23"/>
          <w:szCs w:val="23"/>
        </w:rPr>
        <w:t xml:space="preserve"> of services that are not covered by the plan or Medicare in accordance with Medicare requirements. Please refer to Provider Obligations — Precertification.</w:t>
      </w:r>
    </w:p>
    <w:p w:rsidR="00392F5A" w:rsidRPr="001B1EC2" w:rsidRDefault="00392F5A" w:rsidP="00145356">
      <w:pPr>
        <w:pStyle w:val="Heading1"/>
      </w:pPr>
      <w:bookmarkStart w:id="3" w:name="_Toc10792052"/>
      <w:r w:rsidRPr="001B1EC2">
        <w:lastRenderedPageBreak/>
        <w:t>Verifying Eligibility</w:t>
      </w:r>
      <w:bookmarkEnd w:id="3"/>
      <w:r w:rsidRPr="001B1EC2">
        <w:t xml:space="preserve"> </w:t>
      </w:r>
    </w:p>
    <w:p w:rsidR="00392F5A" w:rsidRPr="001B1EC2" w:rsidRDefault="00C06570" w:rsidP="00FC2733">
      <w:pPr>
        <w:pStyle w:val="Style1"/>
        <w:ind w:left="86" w:right="619"/>
      </w:pPr>
      <w:r w:rsidRPr="001B1EC2">
        <w:t>The Health Plan</w:t>
      </w:r>
      <w:r w:rsidR="00392F5A" w:rsidRPr="001B1EC2">
        <w:t xml:space="preserve"> record is always considered the </w:t>
      </w:r>
      <w:r w:rsidR="00BE71C8" w:rsidRPr="001B1EC2">
        <w:t xml:space="preserve">primary </w:t>
      </w:r>
      <w:r w:rsidR="00392F5A" w:rsidRPr="001B1EC2">
        <w:t>source for a</w:t>
      </w:r>
      <w:r w:rsidR="00BE71C8" w:rsidRPr="001B1EC2">
        <w:t xml:space="preserve"> member’s</w:t>
      </w:r>
      <w:r w:rsidR="00392F5A" w:rsidRPr="001B1EC2">
        <w:t xml:space="preserve"> eligibility. A provider should verify their enrollee’s eligibility directly with the applicable health plan, either through their secure portal, or through contacting the provider customer service department. It is a provider’s responsibility to verify member eligibility at the time of service. </w:t>
      </w:r>
    </w:p>
    <w:p w:rsidR="00893B6C" w:rsidRPr="001B1EC2" w:rsidRDefault="00893B6C" w:rsidP="00705B7A">
      <w:pPr>
        <w:pStyle w:val="Style1"/>
      </w:pPr>
    </w:p>
    <w:p w:rsidR="00392F5A" w:rsidRPr="001B1EC2" w:rsidRDefault="00392F5A" w:rsidP="00FC2733">
      <w:pPr>
        <w:pStyle w:val="Heading1"/>
        <w:spacing w:before="0"/>
      </w:pPr>
      <w:bookmarkStart w:id="4" w:name="_Toc10792053"/>
      <w:r w:rsidRPr="001B1EC2">
        <w:t>Verifying Eligibility with CMS</w:t>
      </w:r>
      <w:bookmarkEnd w:id="4"/>
      <w:r w:rsidRPr="001B1EC2">
        <w:t xml:space="preserve"> </w:t>
      </w:r>
    </w:p>
    <w:p w:rsidR="00392F5A" w:rsidRPr="001B1EC2" w:rsidRDefault="00392F5A" w:rsidP="00705B7A">
      <w:pPr>
        <w:pStyle w:val="Style1"/>
      </w:pPr>
      <w:r w:rsidRPr="001B1EC2">
        <w:t xml:space="preserve">Providers may verify eligibility directly with CMS for any Medicare Advantage Plan (MAP). If member eligibility cannot be verified with the applicable health plan, CMS can verify if the member is enrolled in an MAP plan or not. </w:t>
      </w:r>
    </w:p>
    <w:p w:rsidR="00CC09FB" w:rsidRDefault="00CC09FB" w:rsidP="00705B7A">
      <w:pPr>
        <w:pStyle w:val="Style1"/>
      </w:pPr>
    </w:p>
    <w:p w:rsidR="00392F5A" w:rsidRPr="001B1EC2" w:rsidRDefault="00392F5A" w:rsidP="00705B7A">
      <w:pPr>
        <w:pStyle w:val="Style1"/>
      </w:pPr>
      <w:r w:rsidRPr="001B1EC2">
        <w:t xml:space="preserve">To verify eligibility through CMS, please contact: </w:t>
      </w:r>
    </w:p>
    <w:p w:rsidR="00392F5A" w:rsidRPr="001B1EC2" w:rsidRDefault="00392F5A" w:rsidP="00705B7A">
      <w:pPr>
        <w:pStyle w:val="Style1"/>
        <w:rPr>
          <w:sz w:val="26"/>
          <w:szCs w:val="26"/>
        </w:rPr>
      </w:pPr>
      <w:r w:rsidRPr="001B1EC2">
        <w:rPr>
          <w:bCs/>
          <w:sz w:val="26"/>
          <w:szCs w:val="26"/>
        </w:rPr>
        <w:t xml:space="preserve">Medicare Eligibility: </w:t>
      </w:r>
    </w:p>
    <w:p w:rsidR="00893B6C" w:rsidRPr="001B1EC2" w:rsidRDefault="00392F5A" w:rsidP="00705B7A">
      <w:pPr>
        <w:pStyle w:val="Style1"/>
        <w:rPr>
          <w:bCs/>
        </w:rPr>
      </w:pPr>
      <w:r w:rsidRPr="001B1EC2">
        <w:rPr>
          <w:bCs/>
        </w:rPr>
        <w:t>Texas IVR: 1-855-252-8782</w:t>
      </w:r>
    </w:p>
    <w:p w:rsidR="00392F5A" w:rsidRPr="001B1EC2" w:rsidRDefault="00392F5A" w:rsidP="00705B7A">
      <w:pPr>
        <w:pStyle w:val="Style1"/>
      </w:pPr>
      <w:r w:rsidRPr="001B1EC2">
        <w:rPr>
          <w:bCs/>
        </w:rPr>
        <w:t xml:space="preserve"> </w:t>
      </w:r>
    </w:p>
    <w:p w:rsidR="00392F5A" w:rsidRPr="001B1EC2" w:rsidRDefault="00392F5A" w:rsidP="00705B7A">
      <w:pPr>
        <w:pStyle w:val="Style1"/>
      </w:pPr>
      <w:r w:rsidRPr="001B1EC2">
        <w:t xml:space="preserve">For other Medicare related questions visit </w:t>
      </w:r>
      <w:r w:rsidRPr="001B1EC2">
        <w:rPr>
          <w:u w:val="single"/>
        </w:rPr>
        <w:t xml:space="preserve">http://www.cms.gov/ </w:t>
      </w:r>
      <w:r w:rsidRPr="001B1EC2">
        <w:t xml:space="preserve">or call </w:t>
      </w:r>
    </w:p>
    <w:p w:rsidR="00392F5A" w:rsidRPr="001B1EC2" w:rsidRDefault="00392F5A" w:rsidP="00705B7A">
      <w:pPr>
        <w:pStyle w:val="Style1"/>
        <w:rPr>
          <w:sz w:val="26"/>
          <w:szCs w:val="26"/>
        </w:rPr>
      </w:pPr>
      <w:r w:rsidRPr="001B1EC2">
        <w:rPr>
          <w:bCs/>
          <w:sz w:val="26"/>
          <w:szCs w:val="26"/>
        </w:rPr>
        <w:t xml:space="preserve">Medicare Provider Service: </w:t>
      </w:r>
    </w:p>
    <w:p w:rsidR="00392F5A" w:rsidRPr="001B1EC2" w:rsidRDefault="00392F5A" w:rsidP="00705B7A">
      <w:pPr>
        <w:pStyle w:val="Style1"/>
        <w:rPr>
          <w:bCs/>
        </w:rPr>
      </w:pPr>
      <w:r w:rsidRPr="001B1EC2">
        <w:rPr>
          <w:bCs/>
        </w:rPr>
        <w:t>Texas: 1-800-633-4227</w:t>
      </w:r>
    </w:p>
    <w:p w:rsidR="007D379D" w:rsidRPr="001B1EC2" w:rsidRDefault="007D379D" w:rsidP="00145356">
      <w:pPr>
        <w:pStyle w:val="Heading1"/>
      </w:pPr>
      <w:bookmarkStart w:id="5" w:name="_Toc10792054"/>
      <w:r w:rsidRPr="001B1EC2">
        <w:t>Copays and Coinsurance</w:t>
      </w:r>
      <w:bookmarkEnd w:id="5"/>
    </w:p>
    <w:p w:rsidR="007D379D" w:rsidRDefault="007D379D" w:rsidP="004E2C88">
      <w:pPr>
        <w:pStyle w:val="Style1"/>
      </w:pPr>
      <w:r w:rsidRPr="001B1EC2">
        <w:t xml:space="preserve">It is the provider’s responsibility to collect co-payments and co-insurance directly from the </w:t>
      </w:r>
      <w:r w:rsidR="006C2336" w:rsidRPr="001B1EC2">
        <w:t>patient</w:t>
      </w:r>
      <w:r w:rsidRPr="001B1EC2">
        <w:t xml:space="preserve"> at the time services are rendered. </w:t>
      </w:r>
    </w:p>
    <w:p w:rsidR="00CC09FB" w:rsidRPr="001B1EC2" w:rsidRDefault="00CC09FB" w:rsidP="004E2C88">
      <w:pPr>
        <w:pStyle w:val="Style1"/>
      </w:pPr>
    </w:p>
    <w:p w:rsidR="007D379D" w:rsidRPr="001B1EC2" w:rsidRDefault="007D379D" w:rsidP="004E2C88">
      <w:pPr>
        <w:pStyle w:val="Style1"/>
        <w:ind w:left="720"/>
      </w:pPr>
      <w:r w:rsidRPr="001B1EC2">
        <w:rPr>
          <w:b/>
          <w:bCs/>
        </w:rPr>
        <w:t xml:space="preserve">Copayment </w:t>
      </w:r>
      <w:r w:rsidRPr="001B1EC2">
        <w:t xml:space="preserve">– a fixed amount charged to a MA enrollee on a per service basis. </w:t>
      </w:r>
    </w:p>
    <w:p w:rsidR="007D379D" w:rsidRPr="001B1EC2" w:rsidRDefault="007D379D" w:rsidP="004E2C88">
      <w:pPr>
        <w:pStyle w:val="Style1"/>
        <w:ind w:left="720"/>
      </w:pPr>
      <w:r w:rsidRPr="001B1EC2">
        <w:rPr>
          <w:b/>
          <w:bCs/>
        </w:rPr>
        <w:t xml:space="preserve">Co-insurance </w:t>
      </w:r>
      <w:r w:rsidR="006C2336" w:rsidRPr="001B1EC2">
        <w:t>– p</w:t>
      </w:r>
      <w:r w:rsidRPr="001B1EC2">
        <w:t xml:space="preserve">ercentage of allowed charges for which the enrollee is </w:t>
      </w:r>
      <w:r w:rsidR="00CC09FB">
        <w:t>r</w:t>
      </w:r>
      <w:r w:rsidRPr="001B1EC2">
        <w:t>esponsible</w:t>
      </w:r>
      <w:r w:rsidR="006C2336" w:rsidRPr="001B1EC2">
        <w:t>.</w:t>
      </w:r>
      <w:r w:rsidRPr="001B1EC2">
        <w:t xml:space="preserve"> </w:t>
      </w:r>
    </w:p>
    <w:p w:rsidR="007D379D" w:rsidRPr="001B1EC2" w:rsidRDefault="007D379D" w:rsidP="004E2C88">
      <w:pPr>
        <w:pStyle w:val="Style1"/>
      </w:pPr>
    </w:p>
    <w:p w:rsidR="007D379D" w:rsidRPr="001B1EC2" w:rsidRDefault="007D379D" w:rsidP="004E2C88">
      <w:pPr>
        <w:pStyle w:val="Style1"/>
      </w:pPr>
      <w:r w:rsidRPr="001B1EC2">
        <w:t xml:space="preserve">Contracted providers must not bill or collect any amount </w:t>
      </w:r>
      <w:proofErr w:type="gramStart"/>
      <w:r w:rsidRPr="001B1EC2">
        <w:t>in excess of</w:t>
      </w:r>
      <w:proofErr w:type="gramEnd"/>
      <w:r w:rsidRPr="001B1EC2">
        <w:t xml:space="preserve"> the maximum allowable except for the applicable co-payments and co-insurance. </w:t>
      </w:r>
    </w:p>
    <w:p w:rsidR="006C2336" w:rsidRPr="001B1EC2" w:rsidRDefault="006C2336" w:rsidP="007D379D">
      <w:pPr>
        <w:autoSpaceDE w:val="0"/>
        <w:autoSpaceDN w:val="0"/>
        <w:adjustRightInd w:val="0"/>
        <w:spacing w:after="0" w:line="241" w:lineRule="atLeast"/>
        <w:ind w:left="720" w:right="620"/>
        <w:jc w:val="both"/>
        <w:rPr>
          <w:rFonts w:ascii="Arial" w:hAnsi="Arial" w:cs="Arial"/>
          <w:color w:val="000000"/>
          <w:sz w:val="23"/>
          <w:szCs w:val="23"/>
        </w:rPr>
      </w:pPr>
    </w:p>
    <w:p w:rsidR="006C2336" w:rsidRPr="001B1EC2" w:rsidRDefault="006C2336" w:rsidP="007D379D">
      <w:pPr>
        <w:autoSpaceDE w:val="0"/>
        <w:autoSpaceDN w:val="0"/>
        <w:adjustRightInd w:val="0"/>
        <w:spacing w:after="0" w:line="241" w:lineRule="atLeast"/>
        <w:ind w:left="720" w:right="620"/>
        <w:jc w:val="both"/>
        <w:rPr>
          <w:rFonts w:ascii="Arial" w:hAnsi="Arial" w:cs="Arial"/>
          <w:color w:val="000000"/>
          <w:sz w:val="23"/>
          <w:szCs w:val="23"/>
        </w:rPr>
      </w:pPr>
    </w:p>
    <w:p w:rsidR="006C2336" w:rsidRPr="001B1EC2" w:rsidRDefault="006C2336" w:rsidP="00145356">
      <w:pPr>
        <w:pStyle w:val="Heading1"/>
      </w:pPr>
      <w:bookmarkStart w:id="6" w:name="_Toc10792055"/>
      <w:r w:rsidRPr="001B1EC2">
        <w:t>Non-Covered Services</w:t>
      </w:r>
      <w:bookmarkEnd w:id="6"/>
    </w:p>
    <w:p w:rsidR="007D379D" w:rsidRPr="001B1EC2" w:rsidRDefault="007D379D" w:rsidP="004E2C88">
      <w:pPr>
        <w:pStyle w:val="Style1"/>
      </w:pPr>
      <w:r w:rsidRPr="001B1EC2">
        <w:t xml:space="preserve">Providers may charge </w:t>
      </w:r>
      <w:r w:rsidR="006C2336" w:rsidRPr="001B1EC2">
        <w:t>GMG patients</w:t>
      </w:r>
      <w:r w:rsidRPr="001B1EC2">
        <w:t xml:space="preserve"> for non-covered services. However, such charges must be the usual and customary fee that the provider charges all other enrollees. The </w:t>
      </w:r>
      <w:r w:rsidR="006C2336" w:rsidRPr="001B1EC2">
        <w:t>patient</w:t>
      </w:r>
      <w:r w:rsidRPr="001B1EC2">
        <w:t xml:space="preserve"> must agree in writing to accept responsibility for the non-covered service prior to receiving that service. Providers must utilize the Advance Beneficiary Notice of Noncoverage for this purpose. </w:t>
      </w:r>
    </w:p>
    <w:p w:rsidR="006C2336" w:rsidRPr="001B1EC2" w:rsidRDefault="006C2336" w:rsidP="00145356">
      <w:pPr>
        <w:pStyle w:val="Heading1"/>
      </w:pPr>
      <w:bookmarkStart w:id="7" w:name="_Toc10792056"/>
      <w:r w:rsidRPr="001B1EC2">
        <w:lastRenderedPageBreak/>
        <w:t>Medicaid</w:t>
      </w:r>
      <w:bookmarkEnd w:id="7"/>
    </w:p>
    <w:p w:rsidR="007D379D" w:rsidRPr="001B1EC2" w:rsidRDefault="007D379D" w:rsidP="004E2C88">
      <w:pPr>
        <w:pStyle w:val="Style1"/>
      </w:pPr>
      <w:r w:rsidRPr="001B1EC2">
        <w:t>Medicaid is the program that provides access to health care for low-income families and individuals. Medicaid also assists aged and disabled people with the costs of nursing facility care and other medical expenses. Eligibility for Medicaid is usually based on the families or individual’s income and assets. Many dual eligible</w:t>
      </w:r>
      <w:r w:rsidR="006C2336" w:rsidRPr="001B1EC2">
        <w:t xml:space="preserve"> patients</w:t>
      </w:r>
      <w:r w:rsidRPr="001B1EC2">
        <w:t xml:space="preserve"> (those that have Medicare and Medicaid) enrolled in a Medicare Advantage Plan will have no co-payments or co-insurance. </w:t>
      </w:r>
    </w:p>
    <w:p w:rsidR="006C2336" w:rsidRPr="001B1EC2" w:rsidRDefault="006C2336" w:rsidP="004E2C88">
      <w:pPr>
        <w:pStyle w:val="Style1"/>
      </w:pPr>
    </w:p>
    <w:p w:rsidR="007D379D" w:rsidRPr="001B1EC2" w:rsidRDefault="007D379D" w:rsidP="004E2C88">
      <w:pPr>
        <w:pStyle w:val="Style1"/>
      </w:pPr>
      <w:r w:rsidRPr="001B1EC2">
        <w:t xml:space="preserve">If you are uncertain as to an enrollee’s Medicaid eligibility, you may contact Texas Medicaid &amp; Healthcare Partnership (TMHP) for additional information: </w:t>
      </w:r>
    </w:p>
    <w:p w:rsidR="001706AB" w:rsidRPr="001B1EC2" w:rsidRDefault="001706AB" w:rsidP="004E2C88">
      <w:pPr>
        <w:pStyle w:val="Style1"/>
        <w:rPr>
          <w:b/>
          <w:bCs/>
          <w:sz w:val="26"/>
          <w:szCs w:val="26"/>
        </w:rPr>
      </w:pPr>
    </w:p>
    <w:p w:rsidR="007D379D" w:rsidRPr="001B1EC2" w:rsidRDefault="007D379D" w:rsidP="004E2C88">
      <w:pPr>
        <w:pStyle w:val="Style1"/>
        <w:rPr>
          <w:sz w:val="26"/>
          <w:szCs w:val="26"/>
        </w:rPr>
      </w:pPr>
      <w:r w:rsidRPr="001B1EC2">
        <w:rPr>
          <w:b/>
          <w:bCs/>
          <w:sz w:val="26"/>
          <w:szCs w:val="26"/>
        </w:rPr>
        <w:t xml:space="preserve">Texas: </w:t>
      </w:r>
    </w:p>
    <w:p w:rsidR="007D379D" w:rsidRPr="001B1EC2" w:rsidRDefault="007D379D" w:rsidP="004E2C88">
      <w:pPr>
        <w:pStyle w:val="Style1"/>
      </w:pPr>
      <w:r w:rsidRPr="001B1EC2">
        <w:rPr>
          <w:b/>
          <w:bCs/>
        </w:rPr>
        <w:t xml:space="preserve">1-800-925-9126 </w:t>
      </w:r>
    </w:p>
    <w:p w:rsidR="007D379D" w:rsidRDefault="007D379D" w:rsidP="004E2C88">
      <w:pPr>
        <w:pStyle w:val="Style1"/>
        <w:rPr>
          <w:u w:val="single"/>
        </w:rPr>
      </w:pPr>
      <w:r w:rsidRPr="001B1EC2">
        <w:rPr>
          <w:u w:val="single"/>
        </w:rPr>
        <w:t xml:space="preserve">www.tmhp.com </w:t>
      </w:r>
    </w:p>
    <w:p w:rsidR="004D57DD" w:rsidRDefault="004D57DD" w:rsidP="004E2C88">
      <w:pPr>
        <w:pStyle w:val="Style1"/>
      </w:pPr>
    </w:p>
    <w:p w:rsidR="004437A6" w:rsidRPr="001B1EC2" w:rsidRDefault="004437A6" w:rsidP="004437A6">
      <w:pPr>
        <w:pStyle w:val="Heading1"/>
      </w:pPr>
      <w:bookmarkStart w:id="8" w:name="_Toc10792057"/>
      <w:r w:rsidRPr="001B1EC2">
        <w:t xml:space="preserve">Contracted Providers – </w:t>
      </w:r>
      <w:r>
        <w:t>Claims Payment</w:t>
      </w:r>
      <w:bookmarkEnd w:id="8"/>
    </w:p>
    <w:p w:rsidR="004D57DD" w:rsidRDefault="004437A6" w:rsidP="004E2C88">
      <w:pPr>
        <w:pStyle w:val="Style1"/>
      </w:pPr>
      <w:r>
        <w:t xml:space="preserve">For contracted providers providing services to GMG patients under the GMG Provider Network; please submit your claims to: </w:t>
      </w:r>
    </w:p>
    <w:p w:rsidR="004437A6" w:rsidRDefault="004437A6" w:rsidP="004437A6">
      <w:pPr>
        <w:pStyle w:val="Style1"/>
      </w:pPr>
    </w:p>
    <w:p w:rsidR="004437A6" w:rsidRDefault="004437A6" w:rsidP="004437A6">
      <w:pPr>
        <w:pStyle w:val="Style1"/>
      </w:pPr>
      <w:r>
        <w:t>PO Box 7997</w:t>
      </w:r>
    </w:p>
    <w:p w:rsidR="004437A6" w:rsidRDefault="004437A6" w:rsidP="004437A6">
      <w:pPr>
        <w:pStyle w:val="Style1"/>
      </w:pPr>
      <w:r>
        <w:t>Westchester IL 60154</w:t>
      </w:r>
    </w:p>
    <w:p w:rsidR="004437A6" w:rsidRDefault="004437A6" w:rsidP="004437A6">
      <w:pPr>
        <w:pStyle w:val="Style1"/>
      </w:pPr>
      <w:r>
        <w:t>210-201-0489</w:t>
      </w:r>
    </w:p>
    <w:p w:rsidR="004437A6" w:rsidRDefault="004437A6" w:rsidP="004437A6">
      <w:pPr>
        <w:pStyle w:val="Style1"/>
      </w:pPr>
    </w:p>
    <w:p w:rsidR="004437A6" w:rsidRDefault="004437A6" w:rsidP="004437A6">
      <w:pPr>
        <w:pStyle w:val="Style1"/>
      </w:pPr>
      <w:r>
        <w:t>Using:</w:t>
      </w:r>
    </w:p>
    <w:p w:rsidR="004437A6" w:rsidRPr="001B1EC2" w:rsidRDefault="004437A6" w:rsidP="004437A6">
      <w:pPr>
        <w:pStyle w:val="Style1"/>
      </w:pPr>
      <w:proofErr w:type="spellStart"/>
      <w:r>
        <w:t>PayerID</w:t>
      </w:r>
      <w:proofErr w:type="spellEnd"/>
      <w:r>
        <w:t>: GMGSA</w:t>
      </w:r>
    </w:p>
    <w:p w:rsidR="00FE7DE3" w:rsidRPr="001B1EC2" w:rsidRDefault="00FE7DE3" w:rsidP="00145356">
      <w:pPr>
        <w:pStyle w:val="Heading1"/>
      </w:pPr>
      <w:bookmarkStart w:id="9" w:name="_Toc10792058"/>
      <w:r w:rsidRPr="001B1EC2">
        <w:t>Contracted Providers – Call Coverage</w:t>
      </w:r>
      <w:bookmarkEnd w:id="9"/>
    </w:p>
    <w:p w:rsidR="00334D4B" w:rsidRDefault="00334D4B" w:rsidP="004E2C88">
      <w:pPr>
        <w:pStyle w:val="Style1"/>
      </w:pPr>
      <w:r w:rsidRPr="001B1EC2">
        <w:t xml:space="preserve">Contracted physicians are contractually required to make on-call after-hours coverage arrangements with other contracted and credentialed physicians when they are temporarily unavailable due to vacation, conferences, illness or leave of absence. Each covering physician will bill under their own </w:t>
      </w:r>
      <w:r w:rsidR="00911E21" w:rsidRPr="001B1EC2">
        <w:t>GMG</w:t>
      </w:r>
      <w:r w:rsidRPr="001B1EC2">
        <w:t xml:space="preserve"> agreement. </w:t>
      </w:r>
    </w:p>
    <w:p w:rsidR="00C86F92" w:rsidRPr="001B1EC2" w:rsidRDefault="00C86F92" w:rsidP="004E2C88">
      <w:pPr>
        <w:pStyle w:val="Style1"/>
      </w:pPr>
    </w:p>
    <w:p w:rsidR="00334D4B" w:rsidRDefault="00334D4B" w:rsidP="004E2C88">
      <w:pPr>
        <w:pStyle w:val="Style1"/>
      </w:pPr>
      <w:r w:rsidRPr="001B1EC2">
        <w:t xml:space="preserve">In some instances, a </w:t>
      </w:r>
      <w:r w:rsidR="00911E21" w:rsidRPr="001B1EC2">
        <w:t>GMG</w:t>
      </w:r>
      <w:r w:rsidRPr="001B1EC2">
        <w:t xml:space="preserve"> </w:t>
      </w:r>
      <w:r w:rsidR="00CC09FB">
        <w:t xml:space="preserve">Network Provider </w:t>
      </w:r>
      <w:r w:rsidRPr="001B1EC2">
        <w:t>may need to make call coverage</w:t>
      </w:r>
      <w:r w:rsidR="00CC09FB">
        <w:t xml:space="preserve">.  In this case we ask that you contact the GMG </w:t>
      </w:r>
      <w:r w:rsidR="00C86F92">
        <w:t>Network team /</w:t>
      </w:r>
      <w:r w:rsidR="00CC09FB">
        <w:t xml:space="preserve">Provider </w:t>
      </w:r>
      <w:proofErr w:type="gramStart"/>
      <w:r w:rsidR="00C86F92">
        <w:t>Relations</w:t>
      </w:r>
      <w:proofErr w:type="gramEnd"/>
      <w:r w:rsidR="00C86F92">
        <w:t xml:space="preserve"> so we can perform required compliance reviews.</w:t>
      </w:r>
    </w:p>
    <w:p w:rsidR="00334D4B" w:rsidRPr="001B1EC2" w:rsidRDefault="00334D4B" w:rsidP="00145356">
      <w:pPr>
        <w:pStyle w:val="Heading1"/>
      </w:pPr>
      <w:bookmarkStart w:id="10" w:name="_Toc10792059"/>
      <w:r w:rsidRPr="001B1EC2">
        <w:t>Referrals to Contracted Providers</w:t>
      </w:r>
      <w:bookmarkEnd w:id="10"/>
      <w:r w:rsidRPr="001B1EC2">
        <w:t xml:space="preserve"> </w:t>
      </w:r>
    </w:p>
    <w:p w:rsidR="00334D4B" w:rsidRPr="001B1EC2" w:rsidRDefault="00334D4B" w:rsidP="004E2C88">
      <w:pPr>
        <w:pStyle w:val="Style1"/>
      </w:pPr>
      <w:r w:rsidRPr="001B1EC2">
        <w:t xml:space="preserve">Physicians are required to refer enrollees within the </w:t>
      </w:r>
      <w:r w:rsidR="00911E21" w:rsidRPr="001B1EC2">
        <w:t>GMG</w:t>
      </w:r>
      <w:r w:rsidRPr="001B1EC2">
        <w:t xml:space="preserve"> contracted network. Occasionally, it may be necessary to refer to an out-of-network provider when a service is required that is not available within the network. All out-of-network services require Prior Authorization: </w:t>
      </w:r>
      <w:r w:rsidR="00C86F92">
        <w:t xml:space="preserve"> 210-921-3800</w:t>
      </w:r>
    </w:p>
    <w:p w:rsidR="00334D4B" w:rsidRPr="001B1EC2" w:rsidRDefault="00334D4B" w:rsidP="00145356">
      <w:pPr>
        <w:pStyle w:val="Heading1"/>
      </w:pPr>
      <w:bookmarkStart w:id="11" w:name="_Toc10792060"/>
      <w:r w:rsidRPr="001B1EC2">
        <w:lastRenderedPageBreak/>
        <w:t>Pharmacy Services</w:t>
      </w:r>
      <w:bookmarkEnd w:id="11"/>
      <w:r w:rsidRPr="001B1EC2">
        <w:t xml:space="preserve"> </w:t>
      </w:r>
    </w:p>
    <w:p w:rsidR="00334D4B" w:rsidRPr="004E2C88" w:rsidRDefault="00334D4B" w:rsidP="004E2C88">
      <w:pPr>
        <w:pStyle w:val="Style1"/>
        <w:rPr>
          <w:b/>
        </w:rPr>
      </w:pPr>
      <w:r w:rsidRPr="004E2C88">
        <w:rPr>
          <w:b/>
        </w:rPr>
        <w:t xml:space="preserve">Part D Medications </w:t>
      </w:r>
    </w:p>
    <w:p w:rsidR="00334D4B" w:rsidRDefault="00334D4B" w:rsidP="004E2C88">
      <w:pPr>
        <w:pStyle w:val="Style1"/>
      </w:pPr>
      <w:r w:rsidRPr="001B1EC2">
        <w:t xml:space="preserve">Physicians are asked to prescribe medications that are listed on the applicable health plan formulary unless medical necessity dictates otherwise. Any requests for drugs not on the health plan’s formulary require completion and submission of the health plan non-formulary exception request form by the prescribing physician. </w:t>
      </w:r>
    </w:p>
    <w:p w:rsidR="00C86F92" w:rsidRPr="001B1EC2" w:rsidRDefault="00C86F92" w:rsidP="004E2C88">
      <w:pPr>
        <w:pStyle w:val="Style1"/>
      </w:pPr>
    </w:p>
    <w:p w:rsidR="007D379D" w:rsidRPr="001B1EC2" w:rsidRDefault="00334D4B" w:rsidP="004E2C88">
      <w:pPr>
        <w:pStyle w:val="Style1"/>
      </w:pPr>
      <w:r w:rsidRPr="001B1EC2">
        <w:t xml:space="preserve">You can find out if a drug has any additional requirements or limits by looking at the pharmacy formulary information on the applicable health plan’s website. </w:t>
      </w:r>
    </w:p>
    <w:p w:rsidR="00FE7DE3" w:rsidRPr="001B1EC2" w:rsidRDefault="00FE7DE3" w:rsidP="00145356">
      <w:pPr>
        <w:pStyle w:val="Heading1"/>
      </w:pPr>
      <w:bookmarkStart w:id="12" w:name="_Toc10792061"/>
      <w:r w:rsidRPr="001B1EC2">
        <w:t>Enrollee Direct Access Services</w:t>
      </w:r>
      <w:bookmarkEnd w:id="12"/>
      <w:r w:rsidRPr="001B1EC2">
        <w:t xml:space="preserve"> </w:t>
      </w:r>
    </w:p>
    <w:p w:rsidR="00FE7DE3" w:rsidRPr="001B1EC2" w:rsidRDefault="00FE7DE3" w:rsidP="004E2C88">
      <w:pPr>
        <w:pStyle w:val="Style1"/>
      </w:pPr>
      <w:r w:rsidRPr="001B1EC2">
        <w:t xml:space="preserve">Enrollees have direct access to the following services without going through their PCP: </w:t>
      </w:r>
    </w:p>
    <w:p w:rsidR="00FE7DE3" w:rsidRPr="001B1EC2" w:rsidRDefault="00FE7DE3" w:rsidP="004E2C88">
      <w:pPr>
        <w:pStyle w:val="Style1"/>
        <w:ind w:left="720"/>
      </w:pPr>
      <w:r w:rsidRPr="001B1EC2">
        <w:t xml:space="preserve">Annual Well Woman Exam </w:t>
      </w:r>
    </w:p>
    <w:p w:rsidR="00FE7DE3" w:rsidRPr="001B1EC2" w:rsidRDefault="00FE7DE3" w:rsidP="004E2C88">
      <w:pPr>
        <w:pStyle w:val="Style1"/>
        <w:ind w:left="720"/>
      </w:pPr>
      <w:r w:rsidRPr="001B1EC2">
        <w:t xml:space="preserve">Annual Mammogram </w:t>
      </w:r>
    </w:p>
    <w:p w:rsidR="00FE7DE3" w:rsidRPr="001B1EC2" w:rsidRDefault="00FE7DE3" w:rsidP="004E2C88">
      <w:pPr>
        <w:pStyle w:val="Style1"/>
        <w:ind w:left="720"/>
      </w:pPr>
      <w:r w:rsidRPr="001B1EC2">
        <w:t xml:space="preserve">Disease Management programs </w:t>
      </w:r>
    </w:p>
    <w:p w:rsidR="00FE7DE3" w:rsidRPr="001B1EC2" w:rsidRDefault="00FE7DE3" w:rsidP="004E2C88">
      <w:pPr>
        <w:pStyle w:val="Style1"/>
        <w:ind w:left="720"/>
      </w:pPr>
      <w:r w:rsidRPr="001B1EC2">
        <w:t xml:space="preserve">Hearing exam (coverage varies by benefit plan) </w:t>
      </w:r>
    </w:p>
    <w:p w:rsidR="00FE7DE3" w:rsidRPr="001B1EC2" w:rsidRDefault="00FE7DE3" w:rsidP="004E2C88">
      <w:pPr>
        <w:pStyle w:val="Style1"/>
        <w:ind w:left="720"/>
      </w:pPr>
      <w:r w:rsidRPr="001B1EC2">
        <w:t xml:space="preserve">Influenza Vaccines (Flu) </w:t>
      </w:r>
    </w:p>
    <w:p w:rsidR="007E4F22" w:rsidRPr="001B1EC2" w:rsidRDefault="00FE7DE3" w:rsidP="004E2C88">
      <w:pPr>
        <w:pStyle w:val="Style1"/>
        <w:ind w:left="720"/>
      </w:pPr>
      <w:r w:rsidRPr="001B1EC2">
        <w:t xml:space="preserve">Optometry </w:t>
      </w:r>
      <w:r w:rsidR="007E4F22" w:rsidRPr="001B1EC2">
        <w:t>–</w:t>
      </w:r>
      <w:r w:rsidRPr="001B1EC2">
        <w:t xml:space="preserve"> Annual</w:t>
      </w:r>
      <w:r w:rsidR="007E4F22" w:rsidRPr="001B1EC2">
        <w:t xml:space="preserve"> eye exam and glasses (coverage varies by benefit plan) </w:t>
      </w:r>
    </w:p>
    <w:p w:rsidR="007E4F22" w:rsidRPr="001B1EC2" w:rsidRDefault="007E4F22" w:rsidP="004E2C88">
      <w:pPr>
        <w:pStyle w:val="Style1"/>
      </w:pPr>
      <w:r w:rsidRPr="001B1EC2">
        <w:rPr>
          <w:rStyle w:val="A4"/>
          <w:rFonts w:cs="Arial"/>
        </w:rPr>
        <w:t xml:space="preserve"> </w:t>
      </w:r>
      <w:r w:rsidRPr="001B1EC2">
        <w:rPr>
          <w:rStyle w:val="A4"/>
          <w:rFonts w:cs="Arial"/>
        </w:rPr>
        <w:tab/>
      </w:r>
      <w:r w:rsidRPr="001B1EC2">
        <w:t xml:space="preserve">Out-of-area dialysis </w:t>
      </w:r>
    </w:p>
    <w:p w:rsidR="00FE7DE3" w:rsidRPr="001B1EC2" w:rsidRDefault="00FE7DE3" w:rsidP="00FE7DE3">
      <w:pPr>
        <w:ind w:firstLine="720"/>
        <w:rPr>
          <w:rFonts w:ascii="Arial" w:hAnsi="Arial" w:cs="Arial"/>
        </w:rPr>
      </w:pPr>
    </w:p>
    <w:p w:rsidR="007E4F22" w:rsidRPr="001B1EC2" w:rsidRDefault="007E4F22" w:rsidP="007E4F22">
      <w:pPr>
        <w:pStyle w:val="Pa5"/>
        <w:rPr>
          <w:rFonts w:ascii="Arial" w:hAnsi="Arial" w:cs="Arial"/>
          <w:color w:val="000000"/>
        </w:rPr>
      </w:pPr>
      <w:r w:rsidRPr="001B1EC2">
        <w:rPr>
          <w:rFonts w:ascii="Arial" w:hAnsi="Arial" w:cs="Arial"/>
          <w:color w:val="000000"/>
        </w:rPr>
        <w:t xml:space="preserve">Provider Information Change (PIC) Form </w:t>
      </w:r>
    </w:p>
    <w:p w:rsidR="007E4F22" w:rsidRPr="001B1EC2" w:rsidRDefault="007E4F22" w:rsidP="004E2C88">
      <w:pPr>
        <w:pStyle w:val="Style1"/>
      </w:pPr>
      <w:r w:rsidRPr="001B1EC2">
        <w:t xml:space="preserve">Providers may update their </w:t>
      </w:r>
      <w:r w:rsidR="00911E21" w:rsidRPr="001B1EC2">
        <w:t>GMG</w:t>
      </w:r>
      <w:r w:rsidRPr="001B1EC2">
        <w:t xml:space="preserve"> provider data file by faxing or emailing a Provider Information Change (PIC) Form to </w:t>
      </w:r>
      <w:r w:rsidR="00911E21" w:rsidRPr="001B1EC2">
        <w:t>GMG</w:t>
      </w:r>
      <w:r w:rsidRPr="001B1EC2">
        <w:t xml:space="preserve"> Contract Services. Common provider information changes may include: </w:t>
      </w:r>
    </w:p>
    <w:p w:rsidR="007E4F22" w:rsidRPr="001B1EC2" w:rsidRDefault="007E4F22" w:rsidP="0084370E">
      <w:pPr>
        <w:pStyle w:val="Default"/>
        <w:numPr>
          <w:ilvl w:val="0"/>
          <w:numId w:val="2"/>
        </w:numPr>
        <w:ind w:left="1260" w:hanging="1260"/>
        <w:rPr>
          <w:rFonts w:ascii="Arial" w:hAnsi="Arial" w:cs="Arial"/>
          <w:sz w:val="23"/>
          <w:szCs w:val="23"/>
        </w:rPr>
      </w:pPr>
      <w:r w:rsidRPr="001B1EC2">
        <w:rPr>
          <w:rFonts w:ascii="Arial" w:hAnsi="Arial" w:cs="Arial"/>
          <w:sz w:val="23"/>
          <w:szCs w:val="23"/>
        </w:rPr>
        <w:t xml:space="preserve">Office Physical Address </w:t>
      </w:r>
    </w:p>
    <w:p w:rsidR="007E4F22" w:rsidRPr="001B1EC2" w:rsidRDefault="007E4F22" w:rsidP="0084370E">
      <w:pPr>
        <w:pStyle w:val="Default"/>
        <w:numPr>
          <w:ilvl w:val="0"/>
          <w:numId w:val="2"/>
        </w:numPr>
        <w:ind w:left="1260" w:hanging="1260"/>
        <w:rPr>
          <w:rFonts w:ascii="Arial" w:hAnsi="Arial" w:cs="Arial"/>
          <w:sz w:val="23"/>
          <w:szCs w:val="23"/>
        </w:rPr>
      </w:pPr>
      <w:r w:rsidRPr="001B1EC2">
        <w:rPr>
          <w:rFonts w:ascii="Arial" w:hAnsi="Arial" w:cs="Arial"/>
          <w:sz w:val="23"/>
          <w:szCs w:val="23"/>
        </w:rPr>
        <w:t xml:space="preserve">Office Phone or fax number </w:t>
      </w:r>
    </w:p>
    <w:p w:rsidR="007E4F22" w:rsidRPr="001B1EC2" w:rsidRDefault="007E4F22" w:rsidP="0084370E">
      <w:pPr>
        <w:pStyle w:val="Default"/>
        <w:numPr>
          <w:ilvl w:val="0"/>
          <w:numId w:val="2"/>
        </w:numPr>
        <w:ind w:left="1260" w:hanging="1260"/>
        <w:rPr>
          <w:rFonts w:ascii="Arial" w:hAnsi="Arial" w:cs="Arial"/>
          <w:sz w:val="23"/>
          <w:szCs w:val="23"/>
        </w:rPr>
      </w:pPr>
      <w:r w:rsidRPr="001B1EC2">
        <w:rPr>
          <w:rFonts w:ascii="Arial" w:hAnsi="Arial" w:cs="Arial"/>
          <w:sz w:val="23"/>
          <w:szCs w:val="23"/>
        </w:rPr>
        <w:t xml:space="preserve">Office Billing Address </w:t>
      </w:r>
    </w:p>
    <w:p w:rsidR="007E4F22" w:rsidRPr="001B1EC2" w:rsidRDefault="007E4F22" w:rsidP="0084370E">
      <w:pPr>
        <w:pStyle w:val="Default"/>
        <w:numPr>
          <w:ilvl w:val="0"/>
          <w:numId w:val="2"/>
        </w:numPr>
        <w:ind w:left="1260" w:hanging="1260"/>
        <w:rPr>
          <w:rFonts w:ascii="Arial" w:hAnsi="Arial" w:cs="Arial"/>
          <w:sz w:val="23"/>
          <w:szCs w:val="23"/>
        </w:rPr>
      </w:pPr>
      <w:r w:rsidRPr="001B1EC2">
        <w:rPr>
          <w:rFonts w:ascii="Arial" w:hAnsi="Arial" w:cs="Arial"/>
          <w:sz w:val="23"/>
          <w:szCs w:val="23"/>
        </w:rPr>
        <w:t xml:space="preserve">Tax ID Number </w:t>
      </w:r>
    </w:p>
    <w:p w:rsidR="007E4F22" w:rsidRPr="001B1EC2" w:rsidRDefault="007E4F22" w:rsidP="0084370E">
      <w:pPr>
        <w:pStyle w:val="Default"/>
        <w:numPr>
          <w:ilvl w:val="0"/>
          <w:numId w:val="2"/>
        </w:numPr>
        <w:ind w:left="1260" w:hanging="1260"/>
        <w:rPr>
          <w:rFonts w:ascii="Arial" w:hAnsi="Arial" w:cs="Arial"/>
          <w:sz w:val="23"/>
          <w:szCs w:val="23"/>
        </w:rPr>
      </w:pPr>
      <w:r w:rsidRPr="001B1EC2">
        <w:rPr>
          <w:rFonts w:ascii="Arial" w:hAnsi="Arial" w:cs="Arial"/>
          <w:sz w:val="23"/>
          <w:szCs w:val="23"/>
        </w:rPr>
        <w:t xml:space="preserve">Call Covering Physician </w:t>
      </w:r>
    </w:p>
    <w:p w:rsidR="007E4F22" w:rsidRPr="001B1EC2" w:rsidRDefault="007E4F22" w:rsidP="00145356">
      <w:pPr>
        <w:pStyle w:val="Heading1"/>
      </w:pPr>
      <w:bookmarkStart w:id="13" w:name="_Toc10792062"/>
      <w:r w:rsidRPr="001B1EC2">
        <w:t>Cultural Competency and Language Assistance</w:t>
      </w:r>
      <w:bookmarkEnd w:id="13"/>
      <w:r w:rsidRPr="001B1EC2">
        <w:t xml:space="preserve"> </w:t>
      </w:r>
    </w:p>
    <w:p w:rsidR="007E4F22" w:rsidRPr="001B1EC2" w:rsidRDefault="00911E21" w:rsidP="004E2C88">
      <w:pPr>
        <w:pStyle w:val="Style1"/>
      </w:pPr>
      <w:r w:rsidRPr="001B1EC2">
        <w:t>GMG</w:t>
      </w:r>
      <w:r w:rsidR="007E4F22" w:rsidRPr="001B1EC2">
        <w:t xml:space="preserve"> strives to provide services in a culturally competent manner to all enrollees, including those with limited English proficiency or reading skills, and diverse cultural and ethnic backgrounds by providing a culturally diverse provider network. We gather information from providers concerning languages other than English that are spoken in each office. </w:t>
      </w:r>
    </w:p>
    <w:p w:rsidR="004E2C88" w:rsidRDefault="004E2C88" w:rsidP="004E2C88">
      <w:pPr>
        <w:pStyle w:val="Style1"/>
      </w:pPr>
    </w:p>
    <w:p w:rsidR="007E4F22" w:rsidRPr="001B1EC2" w:rsidRDefault="007E4F22" w:rsidP="004E2C88">
      <w:pPr>
        <w:pStyle w:val="Style1"/>
      </w:pPr>
      <w:r w:rsidRPr="001B1EC2">
        <w:t>Providers are encouraged to deliver care in a manner that is sensitive to the cultural background and language of the enrollee. It is required by law and the responsibility of the provider to obtain and pay for interpreters for language interpretation other than English, as well as for visually impaired, hearing/vision impaired, hard of hearing and speech disabled enrollees. At a minimum this involves arranging for a language interpreter for enrollees who do not speak English.</w:t>
      </w:r>
    </w:p>
    <w:p w:rsidR="007E4F22" w:rsidRPr="001B1EC2" w:rsidRDefault="007E4F22" w:rsidP="007E6EE0">
      <w:pPr>
        <w:spacing w:after="0"/>
        <w:ind w:firstLine="720"/>
        <w:rPr>
          <w:rFonts w:ascii="Arial" w:hAnsi="Arial" w:cs="Arial"/>
          <w:color w:val="000000"/>
          <w:sz w:val="23"/>
          <w:szCs w:val="23"/>
        </w:rPr>
      </w:pPr>
    </w:p>
    <w:p w:rsidR="007E4F22" w:rsidRPr="001B1EC2" w:rsidRDefault="007E4F22" w:rsidP="00145356">
      <w:pPr>
        <w:pStyle w:val="Heading1"/>
      </w:pPr>
      <w:bookmarkStart w:id="14" w:name="_Toc10792063"/>
      <w:r w:rsidRPr="001B1EC2">
        <w:t>Non-Discrimination</w:t>
      </w:r>
      <w:bookmarkEnd w:id="14"/>
      <w:r w:rsidRPr="001B1EC2">
        <w:t xml:space="preserve"> </w:t>
      </w:r>
    </w:p>
    <w:p w:rsidR="007E4F22" w:rsidRDefault="00911E21" w:rsidP="004E2C88">
      <w:pPr>
        <w:pStyle w:val="Style1"/>
      </w:pPr>
      <w:r w:rsidRPr="001B1EC2">
        <w:t>GMG</w:t>
      </w:r>
      <w:r w:rsidR="007E4F22" w:rsidRPr="001B1EC2">
        <w:t xml:space="preserve"> employed and contracted providers maintain a policy of non-discrimination to all enrollees and does not exclude, deny delivery of services to, or otherwise discriminate against any person on the basis of any of race, color, national origin, disability, sex, sexual orientation or sexual identity, marital status age, mental or physical disability or medical condition, such as ESRD, religion, claims experience, medical history, or genetic information. In accordance with Title VI of the Civil Rights Act of 1964, et seq., Section 2000d Rules and Regulations or as otherwise</w:t>
      </w:r>
      <w:r w:rsidR="00C86F92">
        <w:t xml:space="preserve"> provided by law or regulation.</w:t>
      </w:r>
    </w:p>
    <w:p w:rsidR="007E4F22" w:rsidRPr="001B1EC2" w:rsidRDefault="007E4F22" w:rsidP="00145356">
      <w:pPr>
        <w:pStyle w:val="Heading1"/>
      </w:pPr>
      <w:bookmarkStart w:id="15" w:name="_Toc10792064"/>
      <w:r w:rsidRPr="001B1EC2">
        <w:t>Provider Administrative Dispute Resolution</w:t>
      </w:r>
      <w:bookmarkEnd w:id="15"/>
      <w:r w:rsidRPr="001B1EC2">
        <w:t xml:space="preserve"> </w:t>
      </w:r>
    </w:p>
    <w:p w:rsidR="007E4F22" w:rsidRPr="001B1EC2" w:rsidRDefault="00911E21" w:rsidP="004E2C88">
      <w:pPr>
        <w:pStyle w:val="Style1"/>
      </w:pPr>
      <w:r w:rsidRPr="001B1EC2">
        <w:t>GMG</w:t>
      </w:r>
      <w:r w:rsidR="007E4F22" w:rsidRPr="001B1EC2">
        <w:t xml:space="preserve"> defines the provider dispute resolution process and ensures that all provider complaints, grievances and concerns are handled appropriately and in compliance with the Centers for Medicare &amp; Medicaid Services (CMS), State Regulatory and other accrediting agency requirements. This resolution process is available to all participating providers. </w:t>
      </w:r>
    </w:p>
    <w:p w:rsidR="004C17F9" w:rsidRDefault="004C17F9" w:rsidP="00145356">
      <w:pPr>
        <w:pStyle w:val="Heading1"/>
      </w:pPr>
      <w:bookmarkStart w:id="16" w:name="_Toc10792065"/>
      <w:r w:rsidRPr="00DB31EF">
        <w:t>UTILIZATION MANAGEMENT</w:t>
      </w:r>
      <w:bookmarkEnd w:id="16"/>
      <w:r w:rsidRPr="00DB31EF">
        <w:t xml:space="preserve"> </w:t>
      </w:r>
    </w:p>
    <w:p w:rsidR="00DB31EF" w:rsidRDefault="00DB31EF" w:rsidP="004E2C88">
      <w:pPr>
        <w:pStyle w:val="Style1"/>
      </w:pPr>
      <w:r w:rsidRPr="00DB31EF">
        <w:t>GMG</w:t>
      </w:r>
      <w:r>
        <w:t xml:space="preserve"> </w:t>
      </w:r>
      <w:r w:rsidRPr="00DB31EF">
        <w:t>Utilization Management Program includes the evaluation of requests for coverage by determining the medical necessity, appropriateness and efficiency of the health care services under the applicable health benefit plan. UM services will be provided where licensed or permissible under state and federal law, or other regulatory authority.</w:t>
      </w:r>
    </w:p>
    <w:p w:rsidR="00DB31EF" w:rsidRDefault="00DB31EF" w:rsidP="004E2C88">
      <w:pPr>
        <w:pStyle w:val="Style1"/>
      </w:pPr>
      <w:r w:rsidRPr="00DB31EF">
        <w:t>The Chief Medical Officer (CMO) has senior level executive responsibility for UM and reports directly to the President and Chief Executive Officer (CEO).</w:t>
      </w:r>
    </w:p>
    <w:p w:rsidR="00DB31EF" w:rsidRPr="00DB31EF" w:rsidRDefault="00DB31EF" w:rsidP="004E2C88">
      <w:pPr>
        <w:pStyle w:val="Style1"/>
      </w:pPr>
      <w:r>
        <w:t>GMG</w:t>
      </w:r>
      <w:r w:rsidRPr="00DB31EF">
        <w:t xml:space="preserve"> adheres to the following guidelines when administering its UM Program:</w:t>
      </w:r>
    </w:p>
    <w:p w:rsidR="00DB31EF" w:rsidRPr="004E2C88" w:rsidRDefault="00DB31EF" w:rsidP="00DB31EF">
      <w:pPr>
        <w:pStyle w:val="ListParagraph"/>
        <w:numPr>
          <w:ilvl w:val="0"/>
          <w:numId w:val="1"/>
        </w:numPr>
        <w:autoSpaceDE w:val="0"/>
        <w:autoSpaceDN w:val="0"/>
        <w:adjustRightInd w:val="0"/>
        <w:spacing w:after="180" w:line="261" w:lineRule="atLeast"/>
        <w:rPr>
          <w:rFonts w:ascii="Arial" w:hAnsi="Arial" w:cs="Arial"/>
          <w:color w:val="000000"/>
          <w:sz w:val="23"/>
          <w:szCs w:val="23"/>
        </w:rPr>
      </w:pPr>
      <w:r w:rsidRPr="004E2C88">
        <w:rPr>
          <w:rFonts w:ascii="Arial" w:hAnsi="Arial" w:cs="Arial"/>
          <w:color w:val="000000"/>
          <w:sz w:val="23"/>
          <w:szCs w:val="23"/>
        </w:rPr>
        <w:t>It is the responsibility of the PCP/attending provider to make clinical decisions regarding medical treatment. These decisions must be made consistently with generally accepted principles of professional medical practice and in consultation with the patient.</w:t>
      </w:r>
    </w:p>
    <w:p w:rsidR="00DB31EF" w:rsidRPr="004E2C88" w:rsidRDefault="00DB31EF" w:rsidP="00DB31EF">
      <w:pPr>
        <w:pStyle w:val="ListParagraph"/>
        <w:numPr>
          <w:ilvl w:val="0"/>
          <w:numId w:val="1"/>
        </w:numPr>
        <w:autoSpaceDE w:val="0"/>
        <w:autoSpaceDN w:val="0"/>
        <w:adjustRightInd w:val="0"/>
        <w:spacing w:after="180" w:line="261" w:lineRule="atLeast"/>
        <w:rPr>
          <w:rFonts w:ascii="Arial" w:hAnsi="Arial" w:cs="Arial"/>
          <w:color w:val="000000"/>
          <w:sz w:val="23"/>
          <w:szCs w:val="23"/>
        </w:rPr>
      </w:pPr>
      <w:r w:rsidRPr="004E2C88">
        <w:rPr>
          <w:rFonts w:ascii="Arial" w:hAnsi="Arial" w:cs="Arial"/>
          <w:color w:val="000000"/>
          <w:sz w:val="23"/>
          <w:szCs w:val="23"/>
        </w:rPr>
        <w:t>It is the responsibility of GMG to determine benefit coverage based on the patient’s health plan benefit</w:t>
      </w:r>
      <w:r w:rsidR="004D495B" w:rsidRPr="004E2C88">
        <w:rPr>
          <w:rFonts w:ascii="Arial" w:hAnsi="Arial" w:cs="Arial"/>
          <w:color w:val="000000"/>
          <w:sz w:val="23"/>
          <w:szCs w:val="23"/>
        </w:rPr>
        <w:t>s</w:t>
      </w:r>
      <w:r w:rsidRPr="004E2C88">
        <w:rPr>
          <w:rFonts w:ascii="Arial" w:hAnsi="Arial" w:cs="Arial"/>
          <w:color w:val="000000"/>
          <w:sz w:val="23"/>
          <w:szCs w:val="23"/>
        </w:rPr>
        <w:t xml:space="preserve">. </w:t>
      </w:r>
      <w:r w:rsidR="004D495B" w:rsidRPr="004E2C88">
        <w:rPr>
          <w:rFonts w:ascii="Arial" w:hAnsi="Arial" w:cs="Arial"/>
          <w:color w:val="000000"/>
          <w:sz w:val="23"/>
          <w:szCs w:val="23"/>
        </w:rPr>
        <w:t>GMG</w:t>
      </w:r>
      <w:r w:rsidRPr="004E2C88">
        <w:rPr>
          <w:rFonts w:ascii="Arial" w:hAnsi="Arial" w:cs="Arial"/>
          <w:color w:val="000000"/>
          <w:sz w:val="23"/>
          <w:szCs w:val="23"/>
        </w:rPr>
        <w:t xml:space="preserve"> uses medical necessity guidelines/utilization review criteria, if applicable, to evaluate requests for coverage.</w:t>
      </w:r>
    </w:p>
    <w:p w:rsidR="00DB31EF" w:rsidRPr="004E2C88" w:rsidRDefault="00DB31EF" w:rsidP="00DB31EF">
      <w:pPr>
        <w:pStyle w:val="ListParagraph"/>
        <w:numPr>
          <w:ilvl w:val="0"/>
          <w:numId w:val="1"/>
        </w:numPr>
        <w:autoSpaceDE w:val="0"/>
        <w:autoSpaceDN w:val="0"/>
        <w:adjustRightInd w:val="0"/>
        <w:spacing w:after="180" w:line="261" w:lineRule="atLeast"/>
        <w:rPr>
          <w:rFonts w:ascii="Arial" w:hAnsi="Arial" w:cs="Arial"/>
          <w:color w:val="000000"/>
          <w:sz w:val="23"/>
          <w:szCs w:val="23"/>
        </w:rPr>
      </w:pPr>
      <w:r w:rsidRPr="004E2C88">
        <w:rPr>
          <w:rFonts w:ascii="Arial" w:hAnsi="Arial" w:cs="Arial"/>
          <w:color w:val="000000"/>
          <w:sz w:val="23"/>
          <w:szCs w:val="23"/>
        </w:rPr>
        <w:t>All utilization review decisions to deny coverage are made by qualified, licensed physicians, or when appropriate and when allowable by law, by licensed health care professionals with expertise in the specialty for which services are being requested.</w:t>
      </w:r>
    </w:p>
    <w:p w:rsidR="00DB31EF" w:rsidRDefault="004D495B" w:rsidP="007E6EE0">
      <w:pPr>
        <w:pStyle w:val="ListParagraph"/>
        <w:numPr>
          <w:ilvl w:val="0"/>
          <w:numId w:val="1"/>
        </w:numPr>
        <w:autoSpaceDE w:val="0"/>
        <w:autoSpaceDN w:val="0"/>
        <w:adjustRightInd w:val="0"/>
        <w:spacing w:after="0" w:line="261" w:lineRule="atLeast"/>
        <w:rPr>
          <w:rFonts w:ascii="Arial" w:hAnsi="Arial" w:cs="Arial"/>
          <w:color w:val="000000"/>
          <w:sz w:val="23"/>
          <w:szCs w:val="23"/>
        </w:rPr>
      </w:pPr>
      <w:r w:rsidRPr="00EE5760">
        <w:rPr>
          <w:rFonts w:ascii="Arial" w:hAnsi="Arial" w:cs="Arial"/>
          <w:color w:val="000000"/>
          <w:sz w:val="23"/>
          <w:szCs w:val="23"/>
          <w:highlight w:val="yellow"/>
        </w:rPr>
        <w:t>GMG does not compensate individuals conducting utilization review</w:t>
      </w:r>
      <w:r w:rsidR="00086A9D" w:rsidRPr="00EE5760">
        <w:rPr>
          <w:rFonts w:ascii="Arial" w:hAnsi="Arial" w:cs="Arial"/>
          <w:color w:val="000000"/>
          <w:sz w:val="23"/>
          <w:szCs w:val="23"/>
          <w:highlight w:val="yellow"/>
        </w:rPr>
        <w:t>, practitioner</w:t>
      </w:r>
      <w:r w:rsidR="0050706A" w:rsidRPr="00EE5760">
        <w:rPr>
          <w:rFonts w:ascii="Arial" w:hAnsi="Arial" w:cs="Arial"/>
          <w:color w:val="000000"/>
          <w:sz w:val="23"/>
          <w:szCs w:val="23"/>
          <w:highlight w:val="yellow"/>
        </w:rPr>
        <w:t>s</w:t>
      </w:r>
      <w:r w:rsidR="00086A9D" w:rsidRPr="00EE5760">
        <w:rPr>
          <w:rFonts w:ascii="Arial" w:hAnsi="Arial" w:cs="Arial"/>
          <w:color w:val="000000"/>
          <w:sz w:val="23"/>
          <w:szCs w:val="23"/>
          <w:highlight w:val="yellow"/>
        </w:rPr>
        <w:t xml:space="preserve"> or</w:t>
      </w:r>
      <w:r w:rsidR="0050706A" w:rsidRPr="00EE5760">
        <w:rPr>
          <w:rFonts w:ascii="Arial" w:hAnsi="Arial" w:cs="Arial"/>
          <w:color w:val="000000"/>
          <w:sz w:val="23"/>
          <w:szCs w:val="23"/>
          <w:highlight w:val="yellow"/>
        </w:rPr>
        <w:t xml:space="preserve"> other individuals</w:t>
      </w:r>
      <w:r w:rsidR="00086A9D" w:rsidRPr="00EE5760">
        <w:rPr>
          <w:rFonts w:ascii="Arial" w:hAnsi="Arial" w:cs="Arial"/>
          <w:color w:val="000000"/>
          <w:sz w:val="23"/>
          <w:szCs w:val="23"/>
          <w:highlight w:val="yellow"/>
        </w:rPr>
        <w:t xml:space="preserve"> </w:t>
      </w:r>
      <w:r w:rsidRPr="00EE5760">
        <w:rPr>
          <w:rFonts w:ascii="Arial" w:hAnsi="Arial" w:cs="Arial"/>
          <w:color w:val="000000"/>
          <w:sz w:val="23"/>
          <w:szCs w:val="23"/>
          <w:highlight w:val="yellow"/>
        </w:rPr>
        <w:t>for issuing denials of coverage, and it does not provide financial incentives for UM decision-makers to encourage denials of appropriate coverage. Financial incentives for utilization review do not encourage decisions that result in underutilization. UM decision-making is based on medical necessity, applicable coverage guidelines and appropriateness of care and service</w:t>
      </w:r>
      <w:r w:rsidRPr="004E2C88">
        <w:rPr>
          <w:rFonts w:ascii="Arial" w:hAnsi="Arial" w:cs="Arial"/>
          <w:color w:val="000000"/>
          <w:sz w:val="23"/>
          <w:szCs w:val="23"/>
        </w:rPr>
        <w:t>.</w:t>
      </w:r>
    </w:p>
    <w:p w:rsidR="008C4670" w:rsidRDefault="008C4670" w:rsidP="008C4670">
      <w:pPr>
        <w:autoSpaceDE w:val="0"/>
        <w:autoSpaceDN w:val="0"/>
        <w:adjustRightInd w:val="0"/>
        <w:spacing w:after="0" w:line="241" w:lineRule="atLeast"/>
        <w:ind w:left="720" w:right="620"/>
        <w:jc w:val="both"/>
        <w:rPr>
          <w:rFonts w:ascii="Calibri" w:hAnsi="Calibri" w:cs="Calibri"/>
          <w:color w:val="000000"/>
          <w:sz w:val="23"/>
          <w:szCs w:val="23"/>
        </w:rPr>
      </w:pPr>
    </w:p>
    <w:p w:rsidR="005520F0" w:rsidRPr="00DB433F" w:rsidRDefault="008C4670" w:rsidP="005520F0">
      <w:pPr>
        <w:autoSpaceDE w:val="0"/>
        <w:autoSpaceDN w:val="0"/>
        <w:adjustRightInd w:val="0"/>
        <w:spacing w:after="0" w:line="241" w:lineRule="atLeast"/>
        <w:ind w:left="360" w:right="620"/>
        <w:jc w:val="both"/>
        <w:rPr>
          <w:rFonts w:ascii="Calibri" w:hAnsi="Calibri" w:cs="Calibri"/>
          <w:color w:val="000000"/>
          <w:sz w:val="23"/>
          <w:szCs w:val="23"/>
          <w:highlight w:val="cyan"/>
        </w:rPr>
      </w:pPr>
      <w:r>
        <w:rPr>
          <w:rFonts w:ascii="Calibri" w:hAnsi="Calibri" w:cs="Calibri"/>
          <w:color w:val="000000"/>
          <w:sz w:val="23"/>
          <w:szCs w:val="23"/>
        </w:rPr>
        <w:t xml:space="preserve">Gonzaba Medical Group </w:t>
      </w:r>
      <w:r w:rsidR="005520F0">
        <w:rPr>
          <w:rFonts w:ascii="Calibri" w:hAnsi="Calibri" w:cs="Calibri"/>
          <w:color w:val="000000"/>
          <w:sz w:val="23"/>
          <w:szCs w:val="23"/>
        </w:rPr>
        <w:t>staff</w:t>
      </w:r>
      <w:r>
        <w:rPr>
          <w:rFonts w:ascii="Calibri" w:hAnsi="Calibri" w:cs="Calibri"/>
          <w:color w:val="000000"/>
          <w:sz w:val="23"/>
          <w:szCs w:val="23"/>
        </w:rPr>
        <w:t xml:space="preserve"> are available </w:t>
      </w:r>
      <w:r w:rsidRPr="000F5374">
        <w:rPr>
          <w:rFonts w:ascii="Calibri" w:hAnsi="Calibri" w:cs="Calibri"/>
          <w:color w:val="000000"/>
          <w:sz w:val="23"/>
          <w:szCs w:val="23"/>
        </w:rPr>
        <w:t xml:space="preserve">on </w:t>
      </w:r>
      <w:bookmarkStart w:id="17" w:name="_Hlk9496537"/>
      <w:r w:rsidRPr="000F5374">
        <w:rPr>
          <w:rFonts w:ascii="Calibri" w:hAnsi="Calibri" w:cs="Calibri"/>
          <w:color w:val="000000"/>
          <w:sz w:val="23"/>
          <w:szCs w:val="23"/>
        </w:rPr>
        <w:t xml:space="preserve">normal business days Monday through Friday from </w:t>
      </w:r>
      <w:r>
        <w:rPr>
          <w:rFonts w:ascii="Calibri" w:hAnsi="Calibri" w:cs="Calibri"/>
          <w:color w:val="000000"/>
          <w:sz w:val="23"/>
          <w:szCs w:val="23"/>
        </w:rPr>
        <w:t>8:00 am to 5</w:t>
      </w:r>
      <w:r w:rsidR="005520F0">
        <w:rPr>
          <w:rFonts w:ascii="Calibri" w:hAnsi="Calibri" w:cs="Calibri"/>
          <w:color w:val="000000"/>
          <w:sz w:val="23"/>
          <w:szCs w:val="23"/>
        </w:rPr>
        <w:t xml:space="preserve">:00 pm. </w:t>
      </w:r>
      <w:bookmarkEnd w:id="17"/>
      <w:r w:rsidR="005520F0">
        <w:rPr>
          <w:rFonts w:ascii="Calibri" w:hAnsi="Calibri" w:cs="Calibri"/>
          <w:color w:val="000000"/>
          <w:sz w:val="23"/>
          <w:szCs w:val="23"/>
        </w:rPr>
        <w:t xml:space="preserve">local time </w:t>
      </w:r>
      <w:r w:rsidR="005520F0" w:rsidRPr="00DB433F">
        <w:rPr>
          <w:rFonts w:ascii="Calibri" w:hAnsi="Calibri" w:cs="Calibri"/>
          <w:color w:val="000000"/>
          <w:sz w:val="23"/>
          <w:szCs w:val="23"/>
          <w:highlight w:val="cyan"/>
        </w:rPr>
        <w:t xml:space="preserve">to assist with Prior Authorization Requests.  </w:t>
      </w:r>
      <w:r w:rsidR="00AE4BA7" w:rsidRPr="00DB433F">
        <w:rPr>
          <w:rFonts w:ascii="Calibri" w:hAnsi="Calibri" w:cs="Calibri"/>
          <w:color w:val="000000"/>
          <w:sz w:val="23"/>
          <w:szCs w:val="23"/>
          <w:highlight w:val="cyan"/>
        </w:rPr>
        <w:t xml:space="preserve"> Voice Mail messages may be left after hours and will be addressed the following business day.</w:t>
      </w:r>
    </w:p>
    <w:p w:rsidR="005520F0" w:rsidRPr="00DB433F" w:rsidRDefault="005520F0" w:rsidP="005520F0">
      <w:pPr>
        <w:autoSpaceDE w:val="0"/>
        <w:autoSpaceDN w:val="0"/>
        <w:adjustRightInd w:val="0"/>
        <w:spacing w:after="0" w:line="241" w:lineRule="atLeast"/>
        <w:ind w:left="360" w:right="620"/>
        <w:jc w:val="both"/>
        <w:rPr>
          <w:rFonts w:ascii="Calibri" w:hAnsi="Calibri" w:cs="Calibri"/>
          <w:color w:val="000000"/>
          <w:sz w:val="23"/>
          <w:szCs w:val="23"/>
          <w:highlight w:val="cyan"/>
        </w:rPr>
      </w:pPr>
    </w:p>
    <w:p w:rsidR="008C4670" w:rsidRPr="00DB433F" w:rsidRDefault="008C4670" w:rsidP="00AE4BA7">
      <w:pPr>
        <w:autoSpaceDE w:val="0"/>
        <w:autoSpaceDN w:val="0"/>
        <w:adjustRightInd w:val="0"/>
        <w:spacing w:after="0" w:line="241" w:lineRule="atLeast"/>
        <w:ind w:left="360" w:right="620"/>
        <w:jc w:val="both"/>
        <w:rPr>
          <w:rFonts w:ascii="Calibri" w:hAnsi="Calibri" w:cs="Calibri"/>
          <w:color w:val="000000"/>
          <w:sz w:val="23"/>
          <w:szCs w:val="23"/>
          <w:highlight w:val="cyan"/>
        </w:rPr>
      </w:pPr>
      <w:r w:rsidRPr="000F5374">
        <w:rPr>
          <w:rFonts w:ascii="Calibri" w:hAnsi="Calibri" w:cs="Calibri"/>
          <w:color w:val="000000"/>
          <w:sz w:val="23"/>
          <w:szCs w:val="23"/>
          <w:highlight w:val="cyan"/>
        </w:rPr>
        <w:t>Providers can reach the Utilization Management</w:t>
      </w:r>
      <w:r w:rsidRPr="00DB433F">
        <w:rPr>
          <w:rFonts w:ascii="Calibri" w:hAnsi="Calibri" w:cs="Calibri"/>
          <w:color w:val="000000"/>
          <w:sz w:val="23"/>
          <w:szCs w:val="23"/>
          <w:highlight w:val="cyan"/>
        </w:rPr>
        <w:t xml:space="preserve"> / Referral</w:t>
      </w:r>
      <w:r w:rsidRPr="000F5374">
        <w:rPr>
          <w:rFonts w:ascii="Calibri" w:hAnsi="Calibri" w:cs="Calibri"/>
          <w:color w:val="000000"/>
          <w:sz w:val="23"/>
          <w:szCs w:val="23"/>
          <w:highlight w:val="cyan"/>
        </w:rPr>
        <w:t xml:space="preserve"> department via phone or fax at the numbers listed below: </w:t>
      </w:r>
    </w:p>
    <w:p w:rsidR="008C4670" w:rsidRPr="00DB433F" w:rsidRDefault="008C4670" w:rsidP="00AE4BA7">
      <w:pPr>
        <w:autoSpaceDE w:val="0"/>
        <w:autoSpaceDN w:val="0"/>
        <w:adjustRightInd w:val="0"/>
        <w:spacing w:after="0" w:line="241" w:lineRule="atLeast"/>
        <w:ind w:left="360" w:right="620"/>
        <w:jc w:val="both"/>
        <w:rPr>
          <w:rFonts w:ascii="Calibri" w:hAnsi="Calibri" w:cs="Calibri"/>
          <w:color w:val="000000"/>
          <w:sz w:val="23"/>
          <w:szCs w:val="23"/>
          <w:highlight w:val="cyan"/>
        </w:rPr>
      </w:pPr>
    </w:p>
    <w:p w:rsidR="008C4670" w:rsidRPr="00DB433F" w:rsidRDefault="008C4670" w:rsidP="00AE4BA7">
      <w:pPr>
        <w:autoSpaceDE w:val="0"/>
        <w:autoSpaceDN w:val="0"/>
        <w:adjustRightInd w:val="0"/>
        <w:spacing w:after="0" w:line="241" w:lineRule="atLeast"/>
        <w:ind w:left="360" w:right="620"/>
        <w:jc w:val="both"/>
        <w:rPr>
          <w:rFonts w:ascii="Calibri" w:hAnsi="Calibri" w:cs="Calibri"/>
          <w:color w:val="000000"/>
          <w:sz w:val="23"/>
          <w:szCs w:val="23"/>
          <w:highlight w:val="cyan"/>
        </w:rPr>
      </w:pPr>
      <w:r w:rsidRPr="00DB433F">
        <w:rPr>
          <w:rFonts w:ascii="Calibri" w:hAnsi="Calibri" w:cs="Calibri"/>
          <w:color w:val="000000"/>
          <w:sz w:val="23"/>
          <w:szCs w:val="23"/>
          <w:highlight w:val="cyan"/>
        </w:rPr>
        <w:tab/>
        <w:t>Phone:  210-921-3801</w:t>
      </w:r>
    </w:p>
    <w:p w:rsidR="008C4670" w:rsidRPr="00DB433F" w:rsidRDefault="008C4670" w:rsidP="00AE4BA7">
      <w:pPr>
        <w:autoSpaceDE w:val="0"/>
        <w:autoSpaceDN w:val="0"/>
        <w:adjustRightInd w:val="0"/>
        <w:spacing w:after="0" w:line="241" w:lineRule="atLeast"/>
        <w:ind w:left="360" w:right="620"/>
        <w:jc w:val="both"/>
        <w:rPr>
          <w:rFonts w:ascii="Calibri" w:hAnsi="Calibri" w:cs="Calibri"/>
          <w:color w:val="000000"/>
          <w:sz w:val="23"/>
          <w:szCs w:val="23"/>
          <w:highlight w:val="cyan"/>
        </w:rPr>
      </w:pPr>
      <w:r w:rsidRPr="00DB433F">
        <w:rPr>
          <w:rFonts w:ascii="Calibri" w:hAnsi="Calibri" w:cs="Calibri"/>
          <w:color w:val="000000"/>
          <w:sz w:val="23"/>
          <w:szCs w:val="23"/>
          <w:highlight w:val="cyan"/>
        </w:rPr>
        <w:tab/>
        <w:t>Fax:</w:t>
      </w:r>
      <w:r w:rsidRPr="00DB433F">
        <w:rPr>
          <w:rFonts w:ascii="Calibri" w:hAnsi="Calibri" w:cs="Calibri"/>
          <w:color w:val="000000"/>
          <w:sz w:val="23"/>
          <w:szCs w:val="23"/>
          <w:highlight w:val="cyan"/>
        </w:rPr>
        <w:tab/>
        <w:t>210-334-2862</w:t>
      </w:r>
    </w:p>
    <w:p w:rsidR="008C4670" w:rsidRPr="00DB433F" w:rsidRDefault="008C4670" w:rsidP="00AE4BA7">
      <w:pPr>
        <w:autoSpaceDE w:val="0"/>
        <w:autoSpaceDN w:val="0"/>
        <w:adjustRightInd w:val="0"/>
        <w:spacing w:after="0" w:line="241" w:lineRule="atLeast"/>
        <w:ind w:right="620"/>
        <w:jc w:val="both"/>
        <w:rPr>
          <w:rFonts w:ascii="Calibri" w:hAnsi="Calibri" w:cs="Calibri"/>
          <w:color w:val="000000"/>
          <w:sz w:val="23"/>
          <w:szCs w:val="23"/>
          <w:highlight w:val="cyan"/>
        </w:rPr>
      </w:pPr>
    </w:p>
    <w:p w:rsidR="008C4670" w:rsidRPr="00DB433F" w:rsidRDefault="008C4670" w:rsidP="00AE4BA7">
      <w:pPr>
        <w:autoSpaceDE w:val="0"/>
        <w:autoSpaceDN w:val="0"/>
        <w:adjustRightInd w:val="0"/>
        <w:spacing w:after="0" w:line="241" w:lineRule="atLeast"/>
        <w:ind w:right="620"/>
        <w:jc w:val="both"/>
        <w:rPr>
          <w:rFonts w:ascii="Calibri" w:hAnsi="Calibri" w:cs="Calibri"/>
          <w:color w:val="000000"/>
          <w:sz w:val="23"/>
          <w:szCs w:val="23"/>
          <w:highlight w:val="cyan"/>
        </w:rPr>
      </w:pPr>
      <w:r w:rsidRPr="00DB433F">
        <w:rPr>
          <w:rFonts w:ascii="Calibri" w:hAnsi="Calibri" w:cs="Calibri"/>
          <w:color w:val="000000"/>
          <w:sz w:val="23"/>
          <w:szCs w:val="23"/>
          <w:highlight w:val="cyan"/>
        </w:rPr>
        <w:t>Hospitals can reach the Case Management department to report inpatient admission or Observation stay via phone or fax at the numbers listed below</w:t>
      </w:r>
      <w:r w:rsidR="0084370E" w:rsidRPr="00DB433F">
        <w:rPr>
          <w:rFonts w:ascii="Calibri" w:hAnsi="Calibri" w:cs="Calibri"/>
          <w:color w:val="000000"/>
          <w:sz w:val="23"/>
          <w:szCs w:val="23"/>
          <w:highlight w:val="cyan"/>
        </w:rPr>
        <w:t xml:space="preserve">.  Such reporting should occur within 24 hours of admission/observation. </w:t>
      </w:r>
    </w:p>
    <w:p w:rsidR="008C4670" w:rsidRPr="00DB433F" w:rsidRDefault="008C4670" w:rsidP="00AE4BA7">
      <w:pPr>
        <w:autoSpaceDE w:val="0"/>
        <w:autoSpaceDN w:val="0"/>
        <w:adjustRightInd w:val="0"/>
        <w:spacing w:after="0" w:line="241" w:lineRule="atLeast"/>
        <w:ind w:right="620"/>
        <w:jc w:val="both"/>
        <w:rPr>
          <w:rFonts w:ascii="Calibri" w:hAnsi="Calibri" w:cs="Calibri"/>
          <w:color w:val="000000"/>
          <w:sz w:val="23"/>
          <w:szCs w:val="23"/>
          <w:highlight w:val="cyan"/>
        </w:rPr>
      </w:pPr>
    </w:p>
    <w:p w:rsidR="005520F0" w:rsidRPr="00DB433F" w:rsidRDefault="008C4670" w:rsidP="00AE4BA7">
      <w:pPr>
        <w:autoSpaceDE w:val="0"/>
        <w:autoSpaceDN w:val="0"/>
        <w:adjustRightInd w:val="0"/>
        <w:spacing w:after="0" w:line="241" w:lineRule="atLeast"/>
        <w:ind w:right="620"/>
        <w:jc w:val="both"/>
        <w:rPr>
          <w:rFonts w:ascii="Calibri" w:hAnsi="Calibri" w:cs="Calibri"/>
          <w:color w:val="000000"/>
          <w:sz w:val="23"/>
          <w:szCs w:val="23"/>
          <w:highlight w:val="cyan"/>
        </w:rPr>
      </w:pPr>
      <w:r w:rsidRPr="00DB433F">
        <w:rPr>
          <w:rFonts w:ascii="Calibri" w:hAnsi="Calibri" w:cs="Calibri"/>
          <w:color w:val="000000"/>
          <w:sz w:val="23"/>
          <w:szCs w:val="23"/>
          <w:highlight w:val="cyan"/>
        </w:rPr>
        <w:tab/>
        <w:t>Phone:  210-</w:t>
      </w:r>
      <w:r w:rsidR="005520F0" w:rsidRPr="00DB433F">
        <w:rPr>
          <w:rFonts w:ascii="Calibri" w:hAnsi="Calibri" w:cs="Calibri"/>
          <w:color w:val="000000"/>
          <w:sz w:val="23"/>
          <w:szCs w:val="23"/>
          <w:highlight w:val="cyan"/>
        </w:rPr>
        <w:t>569-7903</w:t>
      </w:r>
    </w:p>
    <w:p w:rsidR="008C4670" w:rsidRPr="000F5374" w:rsidRDefault="005520F0" w:rsidP="00AE4BA7">
      <w:pPr>
        <w:autoSpaceDE w:val="0"/>
        <w:autoSpaceDN w:val="0"/>
        <w:adjustRightInd w:val="0"/>
        <w:spacing w:after="0" w:line="241" w:lineRule="atLeast"/>
        <w:ind w:right="620"/>
        <w:jc w:val="both"/>
        <w:rPr>
          <w:rFonts w:ascii="Calibri" w:hAnsi="Calibri" w:cs="Calibri"/>
          <w:color w:val="000000"/>
          <w:sz w:val="23"/>
          <w:szCs w:val="23"/>
          <w:highlight w:val="cyan"/>
        </w:rPr>
      </w:pPr>
      <w:r w:rsidRPr="00DB433F">
        <w:rPr>
          <w:rFonts w:ascii="Calibri" w:hAnsi="Calibri" w:cs="Calibri"/>
          <w:color w:val="000000"/>
          <w:sz w:val="23"/>
          <w:szCs w:val="23"/>
          <w:highlight w:val="cyan"/>
        </w:rPr>
        <w:tab/>
        <w:t>Fax:</w:t>
      </w:r>
      <w:r w:rsidRPr="00DB433F">
        <w:rPr>
          <w:rFonts w:ascii="Calibri" w:hAnsi="Calibri" w:cs="Calibri"/>
          <w:color w:val="000000"/>
          <w:sz w:val="23"/>
          <w:szCs w:val="23"/>
          <w:highlight w:val="cyan"/>
        </w:rPr>
        <w:tab/>
        <w:t>210-334-2864</w:t>
      </w:r>
      <w:r w:rsidR="008C4670" w:rsidRPr="00DB433F">
        <w:rPr>
          <w:rFonts w:ascii="Calibri" w:hAnsi="Calibri" w:cs="Calibri"/>
          <w:color w:val="000000"/>
          <w:sz w:val="23"/>
          <w:szCs w:val="23"/>
          <w:highlight w:val="cyan"/>
        </w:rPr>
        <w:t xml:space="preserve"> </w:t>
      </w:r>
    </w:p>
    <w:p w:rsidR="008C4670" w:rsidRPr="00DB433F" w:rsidRDefault="008C4670" w:rsidP="00AE4BA7">
      <w:pPr>
        <w:autoSpaceDE w:val="0"/>
        <w:autoSpaceDN w:val="0"/>
        <w:adjustRightInd w:val="0"/>
        <w:spacing w:after="0" w:line="240" w:lineRule="auto"/>
        <w:rPr>
          <w:rFonts w:ascii="Calibri" w:hAnsi="Calibri" w:cs="Calibri"/>
          <w:color w:val="000000"/>
          <w:sz w:val="23"/>
          <w:szCs w:val="23"/>
          <w:highlight w:val="cyan"/>
        </w:rPr>
      </w:pPr>
    </w:p>
    <w:p w:rsidR="005520F0" w:rsidRPr="000F5374" w:rsidRDefault="005520F0" w:rsidP="00AE4BA7">
      <w:pPr>
        <w:autoSpaceDE w:val="0"/>
        <w:autoSpaceDN w:val="0"/>
        <w:adjustRightInd w:val="0"/>
        <w:spacing w:after="0" w:line="240" w:lineRule="auto"/>
        <w:rPr>
          <w:rFonts w:ascii="Calibri" w:hAnsi="Calibri" w:cs="Calibri"/>
          <w:color w:val="000000"/>
          <w:sz w:val="23"/>
          <w:szCs w:val="23"/>
          <w:highlight w:val="cyan"/>
        </w:rPr>
      </w:pPr>
      <w:r w:rsidRPr="00DB433F">
        <w:rPr>
          <w:rFonts w:ascii="Calibri" w:hAnsi="Calibri" w:cs="Calibri"/>
          <w:color w:val="000000"/>
          <w:sz w:val="23"/>
          <w:szCs w:val="23"/>
          <w:highlight w:val="cyan"/>
        </w:rPr>
        <w:t xml:space="preserve">An “on call” Case Management Nurse is available 5pm-10pm </w:t>
      </w:r>
      <w:r w:rsidRPr="000F5374">
        <w:rPr>
          <w:rFonts w:ascii="Calibri" w:hAnsi="Calibri" w:cs="Calibri"/>
          <w:color w:val="000000"/>
          <w:sz w:val="23"/>
          <w:szCs w:val="23"/>
          <w:highlight w:val="cyan"/>
        </w:rPr>
        <w:t>normal business days Monday through Friday</w:t>
      </w:r>
      <w:r w:rsidRPr="00DB433F">
        <w:rPr>
          <w:rFonts w:ascii="Calibri" w:hAnsi="Calibri" w:cs="Calibri"/>
          <w:color w:val="000000"/>
          <w:sz w:val="23"/>
          <w:szCs w:val="23"/>
          <w:highlight w:val="cyan"/>
        </w:rPr>
        <w:t xml:space="preserve">, and weekends 8:00 am to 10pm. to assist with </w:t>
      </w:r>
      <w:proofErr w:type="spellStart"/>
      <w:r w:rsidRPr="00DB433F">
        <w:rPr>
          <w:rFonts w:ascii="Calibri" w:hAnsi="Calibri" w:cs="Calibri"/>
          <w:color w:val="000000"/>
          <w:sz w:val="23"/>
          <w:szCs w:val="23"/>
          <w:highlight w:val="cyan"/>
        </w:rPr>
        <w:t>after hours</w:t>
      </w:r>
      <w:proofErr w:type="spellEnd"/>
      <w:r w:rsidRPr="00DB433F">
        <w:rPr>
          <w:rFonts w:ascii="Calibri" w:hAnsi="Calibri" w:cs="Calibri"/>
          <w:color w:val="000000"/>
          <w:sz w:val="23"/>
          <w:szCs w:val="23"/>
          <w:highlight w:val="cyan"/>
        </w:rPr>
        <w:t xml:space="preserve"> care needs/ discharge planning.  </w:t>
      </w:r>
      <w:r w:rsidR="00AE4BA7" w:rsidRPr="00DB433F">
        <w:rPr>
          <w:rFonts w:ascii="Calibri" w:hAnsi="Calibri" w:cs="Calibri"/>
          <w:color w:val="000000"/>
          <w:sz w:val="23"/>
          <w:szCs w:val="23"/>
          <w:highlight w:val="cyan"/>
        </w:rPr>
        <w:t xml:space="preserve"> Call 210-921-3800 to be connected to the Case Manager on call.</w:t>
      </w:r>
    </w:p>
    <w:p w:rsidR="008C4670" w:rsidRPr="00BA6D9A" w:rsidRDefault="008C4670" w:rsidP="008C4670">
      <w:pPr>
        <w:autoSpaceDE w:val="0"/>
        <w:autoSpaceDN w:val="0"/>
        <w:adjustRightInd w:val="0"/>
        <w:spacing w:after="0" w:line="240" w:lineRule="auto"/>
        <w:rPr>
          <w:rFonts w:ascii="Calibri" w:hAnsi="Calibri" w:cs="Calibri"/>
          <w:color w:val="000000"/>
          <w:sz w:val="23"/>
          <w:szCs w:val="23"/>
          <w:highlight w:val="cyan"/>
        </w:rPr>
      </w:pPr>
    </w:p>
    <w:p w:rsidR="008C4670" w:rsidRPr="00BA6D9A" w:rsidRDefault="008C4670" w:rsidP="00AE4BA7">
      <w:pPr>
        <w:autoSpaceDE w:val="0"/>
        <w:autoSpaceDN w:val="0"/>
        <w:adjustRightInd w:val="0"/>
        <w:spacing w:after="0" w:line="240" w:lineRule="auto"/>
        <w:rPr>
          <w:rFonts w:ascii="Calibri" w:hAnsi="Calibri" w:cs="Calibri"/>
          <w:color w:val="000000"/>
          <w:sz w:val="23"/>
          <w:szCs w:val="23"/>
          <w:highlight w:val="cyan"/>
        </w:rPr>
      </w:pPr>
      <w:r w:rsidRPr="00DB433F">
        <w:rPr>
          <w:rFonts w:ascii="Calibri" w:hAnsi="Calibri" w:cs="Calibri"/>
          <w:color w:val="000000"/>
          <w:sz w:val="23"/>
          <w:szCs w:val="23"/>
          <w:highlight w:val="cyan"/>
        </w:rPr>
        <w:t xml:space="preserve">When a prior authorization request is approved, </w:t>
      </w:r>
      <w:r w:rsidR="00AE4BA7" w:rsidRPr="00DB433F">
        <w:rPr>
          <w:rFonts w:ascii="Calibri" w:hAnsi="Calibri" w:cs="Calibri"/>
          <w:color w:val="000000"/>
          <w:sz w:val="23"/>
          <w:szCs w:val="23"/>
          <w:highlight w:val="cyan"/>
        </w:rPr>
        <w:t>GMG</w:t>
      </w:r>
      <w:r w:rsidRPr="00DB433F">
        <w:rPr>
          <w:rFonts w:ascii="Calibri" w:hAnsi="Calibri" w:cs="Calibri"/>
          <w:color w:val="000000"/>
          <w:sz w:val="23"/>
          <w:szCs w:val="23"/>
          <w:highlight w:val="cyan"/>
        </w:rPr>
        <w:t xml:space="preserve"> will notify the provider and </w:t>
      </w:r>
      <w:proofErr w:type="gramStart"/>
      <w:r w:rsidR="00AE4BA7" w:rsidRPr="00DB433F">
        <w:rPr>
          <w:rFonts w:ascii="Calibri" w:hAnsi="Calibri" w:cs="Calibri"/>
          <w:color w:val="000000"/>
          <w:sz w:val="23"/>
          <w:szCs w:val="23"/>
          <w:highlight w:val="cyan"/>
        </w:rPr>
        <w:t>patient</w:t>
      </w:r>
      <w:proofErr w:type="gramEnd"/>
      <w:r w:rsidR="00AE4BA7" w:rsidRPr="00DB433F">
        <w:rPr>
          <w:rFonts w:ascii="Calibri" w:hAnsi="Calibri" w:cs="Calibri"/>
          <w:color w:val="000000"/>
          <w:sz w:val="23"/>
          <w:szCs w:val="23"/>
          <w:highlight w:val="cyan"/>
        </w:rPr>
        <w:t xml:space="preserve"> </w:t>
      </w:r>
      <w:r w:rsidRPr="00DB433F">
        <w:rPr>
          <w:rFonts w:ascii="Calibri" w:hAnsi="Calibri" w:cs="Calibri"/>
          <w:color w:val="000000"/>
          <w:sz w:val="23"/>
          <w:szCs w:val="23"/>
          <w:highlight w:val="cyan"/>
        </w:rPr>
        <w:t xml:space="preserve">so the provider may proceed with the service delivery. When an adverse determination is made, </w:t>
      </w:r>
      <w:r w:rsidR="00AE4BA7" w:rsidRPr="00DB433F">
        <w:rPr>
          <w:rFonts w:ascii="Calibri" w:hAnsi="Calibri" w:cs="Calibri"/>
          <w:color w:val="000000"/>
          <w:sz w:val="23"/>
          <w:szCs w:val="23"/>
          <w:highlight w:val="cyan"/>
        </w:rPr>
        <w:t xml:space="preserve">GMG </w:t>
      </w:r>
      <w:r w:rsidRPr="00DB433F">
        <w:rPr>
          <w:rFonts w:ascii="Calibri" w:hAnsi="Calibri" w:cs="Calibri"/>
          <w:color w:val="000000"/>
          <w:sz w:val="23"/>
          <w:szCs w:val="23"/>
          <w:highlight w:val="cyan"/>
        </w:rPr>
        <w:t xml:space="preserve">will notify both the provider and enrollee with a formal written notification that includes member appeal rights and other information. </w:t>
      </w:r>
    </w:p>
    <w:p w:rsidR="008C4670" w:rsidRPr="00DB433F" w:rsidRDefault="008C4670" w:rsidP="008C4670">
      <w:pPr>
        <w:autoSpaceDE w:val="0"/>
        <w:autoSpaceDN w:val="0"/>
        <w:adjustRightInd w:val="0"/>
        <w:spacing w:after="0" w:line="241" w:lineRule="atLeast"/>
        <w:ind w:left="720" w:right="620"/>
        <w:jc w:val="both"/>
        <w:rPr>
          <w:rFonts w:ascii="Calibri" w:hAnsi="Calibri" w:cs="Calibri"/>
          <w:color w:val="000000"/>
          <w:sz w:val="23"/>
          <w:szCs w:val="23"/>
          <w:highlight w:val="cyan"/>
        </w:rPr>
      </w:pPr>
    </w:p>
    <w:p w:rsidR="008C4670" w:rsidRPr="00BA6D9A" w:rsidRDefault="008C4670" w:rsidP="00AE4BA7">
      <w:pPr>
        <w:autoSpaceDE w:val="0"/>
        <w:autoSpaceDN w:val="0"/>
        <w:adjustRightInd w:val="0"/>
        <w:spacing w:after="0" w:line="241" w:lineRule="atLeast"/>
        <w:ind w:right="620"/>
        <w:jc w:val="both"/>
        <w:rPr>
          <w:rFonts w:ascii="Calibri" w:hAnsi="Calibri" w:cs="Calibri"/>
          <w:color w:val="000000"/>
          <w:sz w:val="23"/>
          <w:szCs w:val="23"/>
          <w:highlight w:val="cyan"/>
        </w:rPr>
      </w:pPr>
      <w:r w:rsidRPr="00DB433F">
        <w:rPr>
          <w:color w:val="000000"/>
          <w:sz w:val="23"/>
          <w:szCs w:val="23"/>
          <w:highlight w:val="cyan"/>
        </w:rPr>
        <w:t>Providers should initiate requests at least 14 days before the planned date of service for elective services whenever possible.</w:t>
      </w:r>
    </w:p>
    <w:p w:rsidR="00AE4BA7" w:rsidRPr="00DB433F" w:rsidRDefault="00AE4BA7" w:rsidP="00AE4BA7">
      <w:pPr>
        <w:autoSpaceDE w:val="0"/>
        <w:autoSpaceDN w:val="0"/>
        <w:adjustRightInd w:val="0"/>
        <w:spacing w:after="0" w:line="241" w:lineRule="atLeast"/>
        <w:ind w:right="620"/>
        <w:jc w:val="both"/>
        <w:rPr>
          <w:rFonts w:ascii="Calibri" w:hAnsi="Calibri" w:cs="Calibri"/>
          <w:b/>
          <w:bCs/>
          <w:color w:val="000000"/>
          <w:sz w:val="23"/>
          <w:szCs w:val="23"/>
          <w:highlight w:val="cyan"/>
          <w:u w:val="single"/>
        </w:rPr>
      </w:pPr>
    </w:p>
    <w:p w:rsidR="008C4670" w:rsidRPr="00BA6D9A" w:rsidRDefault="008C4670" w:rsidP="00AE4BA7">
      <w:pPr>
        <w:autoSpaceDE w:val="0"/>
        <w:autoSpaceDN w:val="0"/>
        <w:adjustRightInd w:val="0"/>
        <w:spacing w:after="0" w:line="241" w:lineRule="atLeast"/>
        <w:ind w:right="620"/>
        <w:jc w:val="both"/>
        <w:rPr>
          <w:rFonts w:ascii="Calibri" w:hAnsi="Calibri" w:cs="Calibri"/>
          <w:color w:val="000000"/>
          <w:sz w:val="23"/>
          <w:szCs w:val="23"/>
          <w:highlight w:val="cyan"/>
        </w:rPr>
      </w:pPr>
      <w:r w:rsidRPr="00DB433F">
        <w:rPr>
          <w:rFonts w:ascii="Calibri" w:hAnsi="Calibri" w:cs="Calibri"/>
          <w:b/>
          <w:bCs/>
          <w:color w:val="000000"/>
          <w:sz w:val="23"/>
          <w:szCs w:val="23"/>
          <w:highlight w:val="cyan"/>
          <w:u w:val="single"/>
        </w:rPr>
        <w:t xml:space="preserve">Please Note: </w:t>
      </w:r>
      <w:r w:rsidRPr="00BA6D9A">
        <w:rPr>
          <w:rFonts w:ascii="Calibri" w:hAnsi="Calibri" w:cs="Calibri"/>
          <w:b/>
          <w:color w:val="000000"/>
          <w:sz w:val="23"/>
          <w:szCs w:val="23"/>
          <w:highlight w:val="cyan"/>
        </w:rPr>
        <w:t xml:space="preserve">Claims submitted from </w:t>
      </w:r>
      <w:r w:rsidR="00AE4BA7" w:rsidRPr="00DB433F">
        <w:rPr>
          <w:rFonts w:ascii="Calibri" w:hAnsi="Calibri" w:cs="Calibri"/>
          <w:b/>
          <w:color w:val="000000"/>
          <w:sz w:val="23"/>
          <w:szCs w:val="23"/>
          <w:highlight w:val="cyan"/>
        </w:rPr>
        <w:t>GMG</w:t>
      </w:r>
      <w:r w:rsidRPr="00BA6D9A">
        <w:rPr>
          <w:rFonts w:ascii="Calibri" w:hAnsi="Calibri" w:cs="Calibri"/>
          <w:b/>
          <w:color w:val="000000"/>
          <w:sz w:val="23"/>
          <w:szCs w:val="23"/>
          <w:highlight w:val="cyan"/>
        </w:rPr>
        <w:t xml:space="preserve"> contracted providers without an associated authorization for services requiring prior authorization will be denied and considered a contractual denial</w:t>
      </w:r>
      <w:r w:rsidRPr="00BA6D9A">
        <w:rPr>
          <w:rFonts w:ascii="Calibri" w:hAnsi="Calibri" w:cs="Calibri"/>
          <w:color w:val="000000"/>
          <w:sz w:val="23"/>
          <w:szCs w:val="23"/>
          <w:highlight w:val="cyan"/>
        </w:rPr>
        <w:t xml:space="preserve">. </w:t>
      </w:r>
    </w:p>
    <w:p w:rsidR="00AE4BA7" w:rsidRPr="00DB433F" w:rsidRDefault="00AE4BA7" w:rsidP="008C4670">
      <w:pPr>
        <w:autoSpaceDE w:val="0"/>
        <w:autoSpaceDN w:val="0"/>
        <w:adjustRightInd w:val="0"/>
        <w:spacing w:after="0" w:line="241" w:lineRule="atLeast"/>
        <w:ind w:left="720" w:right="620"/>
        <w:jc w:val="both"/>
        <w:rPr>
          <w:rFonts w:ascii="Calibri" w:hAnsi="Calibri" w:cs="Calibri"/>
          <w:color w:val="000000"/>
          <w:sz w:val="23"/>
          <w:szCs w:val="23"/>
          <w:highlight w:val="cyan"/>
        </w:rPr>
      </w:pPr>
    </w:p>
    <w:p w:rsidR="008C4670" w:rsidRPr="00DB433F" w:rsidRDefault="008C4670" w:rsidP="0084370E">
      <w:pPr>
        <w:pStyle w:val="ListParagraph"/>
        <w:numPr>
          <w:ilvl w:val="0"/>
          <w:numId w:val="4"/>
        </w:numPr>
        <w:autoSpaceDE w:val="0"/>
        <w:autoSpaceDN w:val="0"/>
        <w:adjustRightInd w:val="0"/>
        <w:spacing w:after="0" w:line="240" w:lineRule="auto"/>
        <w:rPr>
          <w:rFonts w:ascii="Calibri" w:hAnsi="Calibri" w:cs="Calibri"/>
          <w:color w:val="000000"/>
          <w:sz w:val="24"/>
          <w:szCs w:val="24"/>
          <w:highlight w:val="cyan"/>
        </w:rPr>
      </w:pPr>
    </w:p>
    <w:p w:rsidR="008C4670" w:rsidRPr="00DB433F" w:rsidRDefault="008C4670" w:rsidP="0084370E">
      <w:pPr>
        <w:pStyle w:val="ListParagraph"/>
        <w:numPr>
          <w:ilvl w:val="0"/>
          <w:numId w:val="4"/>
        </w:numPr>
        <w:autoSpaceDE w:val="0"/>
        <w:autoSpaceDN w:val="0"/>
        <w:adjustRightInd w:val="0"/>
        <w:spacing w:after="0" w:line="240" w:lineRule="auto"/>
        <w:rPr>
          <w:rFonts w:ascii="Calibri" w:hAnsi="Calibri" w:cs="Calibri"/>
          <w:color w:val="000000"/>
          <w:sz w:val="23"/>
          <w:szCs w:val="23"/>
          <w:highlight w:val="cyan"/>
        </w:rPr>
      </w:pPr>
      <w:r w:rsidRPr="00DB433F">
        <w:rPr>
          <w:rFonts w:ascii="Calibri" w:hAnsi="Calibri" w:cs="Calibri"/>
          <w:b/>
          <w:bCs/>
          <w:color w:val="000000"/>
          <w:sz w:val="23"/>
          <w:szCs w:val="23"/>
          <w:highlight w:val="cyan"/>
        </w:rPr>
        <w:t xml:space="preserve">Emergency Care: </w:t>
      </w:r>
      <w:r w:rsidRPr="00DB433F">
        <w:rPr>
          <w:rFonts w:ascii="Calibri" w:hAnsi="Calibri" w:cs="Calibri"/>
          <w:color w:val="000000"/>
          <w:sz w:val="23"/>
          <w:szCs w:val="23"/>
          <w:highlight w:val="cyan"/>
        </w:rPr>
        <w:t xml:space="preserve">is defined as any treatment that where a prudent layperson, acting reasonably, would have believed that emergency medical treatment was necessary. </w:t>
      </w:r>
    </w:p>
    <w:p w:rsidR="008C4670" w:rsidRPr="00DB433F" w:rsidRDefault="008C4670" w:rsidP="0084370E">
      <w:pPr>
        <w:pStyle w:val="ListParagraph"/>
        <w:numPr>
          <w:ilvl w:val="0"/>
          <w:numId w:val="4"/>
        </w:numPr>
        <w:autoSpaceDE w:val="0"/>
        <w:autoSpaceDN w:val="0"/>
        <w:adjustRightInd w:val="0"/>
        <w:spacing w:after="0" w:line="240" w:lineRule="auto"/>
        <w:rPr>
          <w:rFonts w:ascii="Calibri" w:hAnsi="Calibri" w:cs="Calibri"/>
          <w:color w:val="000000"/>
          <w:sz w:val="23"/>
          <w:szCs w:val="23"/>
          <w:highlight w:val="cyan"/>
        </w:rPr>
      </w:pPr>
      <w:r w:rsidRPr="00DB433F">
        <w:rPr>
          <w:rFonts w:ascii="Calibri" w:hAnsi="Calibri" w:cs="Calibri"/>
          <w:b/>
          <w:bCs/>
          <w:color w:val="000000"/>
          <w:sz w:val="23"/>
          <w:szCs w:val="23"/>
          <w:highlight w:val="cyan"/>
        </w:rPr>
        <w:t xml:space="preserve">• Emergency Medical Condition: </w:t>
      </w:r>
      <w:r w:rsidRPr="00DB433F">
        <w:rPr>
          <w:rFonts w:ascii="Calibri" w:hAnsi="Calibri" w:cs="Calibri"/>
          <w:color w:val="000000"/>
          <w:sz w:val="23"/>
          <w:szCs w:val="23"/>
          <w:highlight w:val="cyan"/>
        </w:rPr>
        <w:t xml:space="preserve">is a medical condition manifesting itself by acute symptoms of sufficient severity (including severe pain) such that a prudent layperson, with an average knowledge of health and medicine, could reasonably expect the absence of immediate medical attention to result in: Serious jeopardy to the health of the individual or, in the case of a pregnant women, the health of the woman or her unborn child; serious </w:t>
      </w:r>
      <w:r w:rsidRPr="00DB433F">
        <w:rPr>
          <w:rFonts w:ascii="Calibri" w:hAnsi="Calibri" w:cs="Calibri"/>
          <w:color w:val="000000"/>
          <w:sz w:val="23"/>
          <w:szCs w:val="23"/>
          <w:highlight w:val="cyan"/>
        </w:rPr>
        <w:lastRenderedPageBreak/>
        <w:t xml:space="preserve">impairment to bodily functions; or serious dysfunction of any body organ or part. Emergency medical condition status is not affected if a later medical review found no actual emergency present. </w:t>
      </w:r>
    </w:p>
    <w:p w:rsidR="008C4670" w:rsidRPr="00DB433F" w:rsidRDefault="008C4670" w:rsidP="0084370E">
      <w:pPr>
        <w:pStyle w:val="ListParagraph"/>
        <w:numPr>
          <w:ilvl w:val="0"/>
          <w:numId w:val="4"/>
        </w:numPr>
        <w:autoSpaceDE w:val="0"/>
        <w:autoSpaceDN w:val="0"/>
        <w:adjustRightInd w:val="0"/>
        <w:spacing w:after="0" w:line="240" w:lineRule="auto"/>
        <w:rPr>
          <w:rFonts w:ascii="Calibri" w:hAnsi="Calibri" w:cs="Calibri"/>
          <w:color w:val="000000"/>
          <w:sz w:val="23"/>
          <w:szCs w:val="23"/>
          <w:highlight w:val="cyan"/>
        </w:rPr>
      </w:pPr>
      <w:r w:rsidRPr="00DB433F">
        <w:rPr>
          <w:rFonts w:ascii="Calibri" w:hAnsi="Calibri" w:cs="Calibri"/>
          <w:b/>
          <w:bCs/>
          <w:color w:val="000000"/>
          <w:sz w:val="23"/>
          <w:szCs w:val="23"/>
          <w:highlight w:val="cyan"/>
        </w:rPr>
        <w:t xml:space="preserve">• Emergency Services: </w:t>
      </w:r>
      <w:r w:rsidRPr="00DB433F">
        <w:rPr>
          <w:rFonts w:ascii="Calibri" w:hAnsi="Calibri" w:cs="Calibri"/>
          <w:color w:val="000000"/>
          <w:sz w:val="23"/>
          <w:szCs w:val="23"/>
          <w:highlight w:val="cyan"/>
        </w:rPr>
        <w:t xml:space="preserve">covered inpatient and outpatient services that are furnished by a provider qualified to furnish emergency services; and needed to evaluate or treat an emergency medical condition. </w:t>
      </w:r>
    </w:p>
    <w:p w:rsidR="0027687C" w:rsidRPr="0027687C" w:rsidRDefault="0027687C" w:rsidP="0027687C">
      <w:pPr>
        <w:autoSpaceDE w:val="0"/>
        <w:autoSpaceDN w:val="0"/>
        <w:adjustRightInd w:val="0"/>
        <w:spacing w:after="0" w:line="261" w:lineRule="atLeast"/>
        <w:rPr>
          <w:rFonts w:ascii="Arial" w:hAnsi="Arial" w:cs="Arial"/>
          <w:color w:val="000000"/>
          <w:sz w:val="23"/>
          <w:szCs w:val="23"/>
        </w:rPr>
      </w:pPr>
    </w:p>
    <w:p w:rsidR="004D495B" w:rsidRPr="004D495B" w:rsidRDefault="004D495B" w:rsidP="00145356">
      <w:pPr>
        <w:pStyle w:val="Heading1"/>
      </w:pPr>
      <w:bookmarkStart w:id="18" w:name="_Toc10792066"/>
      <w:r w:rsidRPr="004D495B">
        <w:t>Medical Necessity Guidelines</w:t>
      </w:r>
      <w:bookmarkEnd w:id="18"/>
    </w:p>
    <w:p w:rsidR="004D495B" w:rsidRPr="004D495B" w:rsidRDefault="004D495B" w:rsidP="004E2C88">
      <w:pPr>
        <w:pStyle w:val="Style1"/>
      </w:pPr>
      <w:r>
        <w:t>GMG</w:t>
      </w:r>
      <w:r w:rsidRPr="004D495B">
        <w:t xml:space="preserve"> determines benefit coverage for the benefits described in each </w:t>
      </w:r>
      <w:r>
        <w:t>patient</w:t>
      </w:r>
      <w:r w:rsidRPr="004D495B">
        <w:t xml:space="preserve">’s </w:t>
      </w:r>
      <w:r>
        <w:t xml:space="preserve">health plan </w:t>
      </w:r>
      <w:r w:rsidRPr="004D495B">
        <w:t>product description by using Medical Necessity Guidelines (MNGs) to determine the medical necessity and appropriateness of health care services under the applicable health benefit plan. These utilization review MNGs are:</w:t>
      </w:r>
    </w:p>
    <w:p w:rsidR="004D495B" w:rsidRPr="004E2C88" w:rsidRDefault="004D495B" w:rsidP="004E2C88">
      <w:pPr>
        <w:pStyle w:val="ListParagraph"/>
        <w:numPr>
          <w:ilvl w:val="0"/>
          <w:numId w:val="1"/>
        </w:numPr>
        <w:autoSpaceDE w:val="0"/>
        <w:autoSpaceDN w:val="0"/>
        <w:adjustRightInd w:val="0"/>
        <w:spacing w:after="180" w:line="261" w:lineRule="atLeast"/>
        <w:rPr>
          <w:rFonts w:ascii="Arial" w:hAnsi="Arial" w:cs="Arial"/>
          <w:color w:val="000000"/>
          <w:sz w:val="23"/>
          <w:szCs w:val="23"/>
        </w:rPr>
      </w:pPr>
      <w:r w:rsidRPr="004E2C88">
        <w:rPr>
          <w:rFonts w:ascii="Arial" w:hAnsi="Arial" w:cs="Arial"/>
          <w:color w:val="000000"/>
          <w:sz w:val="23"/>
          <w:szCs w:val="23"/>
        </w:rPr>
        <w:t>Developed in accordance with standards adopted by national accreditation organizations and regulatory and government entities</w:t>
      </w:r>
    </w:p>
    <w:p w:rsidR="004D495B" w:rsidRPr="004E2C88" w:rsidRDefault="004D495B" w:rsidP="004E2C88">
      <w:pPr>
        <w:pStyle w:val="ListParagraph"/>
        <w:numPr>
          <w:ilvl w:val="0"/>
          <w:numId w:val="1"/>
        </w:numPr>
        <w:autoSpaceDE w:val="0"/>
        <w:autoSpaceDN w:val="0"/>
        <w:adjustRightInd w:val="0"/>
        <w:spacing w:after="180" w:line="261" w:lineRule="atLeast"/>
        <w:rPr>
          <w:rFonts w:ascii="Arial" w:hAnsi="Arial" w:cs="Arial"/>
          <w:color w:val="000000"/>
          <w:sz w:val="23"/>
          <w:szCs w:val="23"/>
        </w:rPr>
      </w:pPr>
      <w:r w:rsidRPr="004E2C88">
        <w:rPr>
          <w:rFonts w:ascii="Arial" w:hAnsi="Arial" w:cs="Arial"/>
          <w:color w:val="000000"/>
          <w:sz w:val="23"/>
          <w:szCs w:val="23"/>
        </w:rPr>
        <w:t>Reviewed on an annual basis and updated as new treatments, applications and technologies are adopted as generally accepted professional medical practice</w:t>
      </w:r>
    </w:p>
    <w:p w:rsidR="004D495B" w:rsidRPr="004E2C88" w:rsidRDefault="004D495B" w:rsidP="004E2C88">
      <w:pPr>
        <w:pStyle w:val="ListParagraph"/>
        <w:numPr>
          <w:ilvl w:val="0"/>
          <w:numId w:val="1"/>
        </w:numPr>
        <w:autoSpaceDE w:val="0"/>
        <w:autoSpaceDN w:val="0"/>
        <w:adjustRightInd w:val="0"/>
        <w:spacing w:after="180" w:line="261" w:lineRule="atLeast"/>
        <w:rPr>
          <w:rFonts w:ascii="Arial" w:hAnsi="Arial" w:cs="Arial"/>
          <w:color w:val="000000"/>
          <w:sz w:val="23"/>
          <w:szCs w:val="23"/>
        </w:rPr>
      </w:pPr>
      <w:r w:rsidRPr="004E2C88">
        <w:rPr>
          <w:rFonts w:ascii="Arial" w:hAnsi="Arial" w:cs="Arial"/>
          <w:color w:val="000000"/>
          <w:sz w:val="23"/>
          <w:szCs w:val="23"/>
        </w:rPr>
        <w:t>Evidence-based, if such evidence is available</w:t>
      </w:r>
    </w:p>
    <w:p w:rsidR="004D495B" w:rsidRPr="004E2C88" w:rsidRDefault="004D495B" w:rsidP="004E2C88">
      <w:pPr>
        <w:pStyle w:val="ListParagraph"/>
        <w:numPr>
          <w:ilvl w:val="0"/>
          <w:numId w:val="1"/>
        </w:numPr>
        <w:autoSpaceDE w:val="0"/>
        <w:autoSpaceDN w:val="0"/>
        <w:adjustRightInd w:val="0"/>
        <w:spacing w:after="180" w:line="261" w:lineRule="atLeast"/>
        <w:rPr>
          <w:rFonts w:ascii="Arial" w:hAnsi="Arial" w:cs="Arial"/>
          <w:color w:val="000000"/>
          <w:sz w:val="23"/>
          <w:szCs w:val="23"/>
        </w:rPr>
      </w:pPr>
      <w:r w:rsidRPr="004E2C88">
        <w:rPr>
          <w:rFonts w:ascii="Arial" w:hAnsi="Arial" w:cs="Arial"/>
          <w:color w:val="000000"/>
          <w:sz w:val="23"/>
          <w:szCs w:val="23"/>
        </w:rPr>
        <w:t>Applied in a manner that considers the individual health care needs of the member and characteristics of the local delivery system</w:t>
      </w:r>
    </w:p>
    <w:p w:rsidR="004D495B" w:rsidRPr="004E2C88" w:rsidRDefault="004D495B" w:rsidP="004E2C88">
      <w:pPr>
        <w:pStyle w:val="ListParagraph"/>
        <w:numPr>
          <w:ilvl w:val="0"/>
          <w:numId w:val="1"/>
        </w:numPr>
        <w:autoSpaceDE w:val="0"/>
        <w:autoSpaceDN w:val="0"/>
        <w:adjustRightInd w:val="0"/>
        <w:spacing w:after="180" w:line="261" w:lineRule="atLeast"/>
        <w:rPr>
          <w:rFonts w:ascii="Arial" w:hAnsi="Arial" w:cs="Arial"/>
          <w:color w:val="000000"/>
          <w:sz w:val="23"/>
          <w:szCs w:val="23"/>
        </w:rPr>
      </w:pPr>
      <w:r w:rsidRPr="004E2C88">
        <w:rPr>
          <w:rFonts w:ascii="Arial" w:hAnsi="Arial" w:cs="Arial"/>
          <w:color w:val="000000"/>
          <w:sz w:val="23"/>
          <w:szCs w:val="23"/>
        </w:rPr>
        <w:t>Evaluated at least annually for the consistency with which those involved in utilization review apply the MNGs in the determination of coverage</w:t>
      </w:r>
    </w:p>
    <w:p w:rsidR="004D495B" w:rsidRPr="004E2C88" w:rsidRDefault="004D495B" w:rsidP="004E2C88">
      <w:pPr>
        <w:pStyle w:val="ListParagraph"/>
        <w:numPr>
          <w:ilvl w:val="0"/>
          <w:numId w:val="1"/>
        </w:numPr>
        <w:autoSpaceDE w:val="0"/>
        <w:autoSpaceDN w:val="0"/>
        <w:adjustRightInd w:val="0"/>
        <w:spacing w:after="180" w:line="261" w:lineRule="atLeast"/>
        <w:rPr>
          <w:rFonts w:ascii="Arial" w:hAnsi="Arial" w:cs="Arial"/>
          <w:color w:val="000000"/>
          <w:sz w:val="23"/>
          <w:szCs w:val="23"/>
        </w:rPr>
      </w:pPr>
      <w:r w:rsidRPr="004E2C88">
        <w:rPr>
          <w:rFonts w:ascii="Arial" w:hAnsi="Arial" w:cs="Arial"/>
          <w:color w:val="000000"/>
          <w:sz w:val="23"/>
          <w:szCs w:val="23"/>
        </w:rPr>
        <w:t>GMG also utilizes some commercially purchased criteria. The use of these criteria is also reviewed in the manner described above.</w:t>
      </w:r>
    </w:p>
    <w:p w:rsidR="004D495B" w:rsidRPr="004E2C88" w:rsidRDefault="004D495B" w:rsidP="004E2C88">
      <w:pPr>
        <w:pStyle w:val="ListParagraph"/>
        <w:numPr>
          <w:ilvl w:val="0"/>
          <w:numId w:val="1"/>
        </w:numPr>
        <w:autoSpaceDE w:val="0"/>
        <w:autoSpaceDN w:val="0"/>
        <w:adjustRightInd w:val="0"/>
        <w:spacing w:after="180" w:line="261" w:lineRule="atLeast"/>
        <w:rPr>
          <w:rFonts w:ascii="Arial" w:hAnsi="Arial" w:cs="Arial"/>
          <w:color w:val="000000"/>
          <w:sz w:val="23"/>
          <w:szCs w:val="23"/>
        </w:rPr>
      </w:pPr>
      <w:r w:rsidRPr="004E2C88">
        <w:rPr>
          <w:rFonts w:ascii="Arial" w:hAnsi="Arial" w:cs="Arial"/>
          <w:color w:val="000000"/>
          <w:sz w:val="23"/>
          <w:szCs w:val="23"/>
        </w:rPr>
        <w:t xml:space="preserve">MNGs are used by providers when making coverage determinations for Managed Care patients. MNGs </w:t>
      </w:r>
      <w:r w:rsidR="00A9437F" w:rsidRPr="004E2C88">
        <w:rPr>
          <w:rFonts w:ascii="Arial" w:hAnsi="Arial" w:cs="Arial"/>
          <w:color w:val="000000"/>
          <w:sz w:val="23"/>
          <w:szCs w:val="23"/>
        </w:rPr>
        <w:t>can be</w:t>
      </w:r>
      <w:r w:rsidR="00DE78B6" w:rsidRPr="004E2C88">
        <w:rPr>
          <w:rFonts w:ascii="Arial" w:hAnsi="Arial" w:cs="Arial"/>
          <w:color w:val="000000"/>
          <w:sz w:val="23"/>
          <w:szCs w:val="23"/>
        </w:rPr>
        <w:t xml:space="preserve"> made</w:t>
      </w:r>
      <w:r w:rsidRPr="004E2C88">
        <w:rPr>
          <w:rFonts w:ascii="Arial" w:hAnsi="Arial" w:cs="Arial"/>
          <w:color w:val="000000"/>
          <w:sz w:val="23"/>
          <w:szCs w:val="23"/>
        </w:rPr>
        <w:t xml:space="preserve"> available </w:t>
      </w:r>
      <w:r w:rsidR="00DE78B6" w:rsidRPr="004E2C88">
        <w:rPr>
          <w:rFonts w:ascii="Arial" w:hAnsi="Arial" w:cs="Arial"/>
          <w:color w:val="000000"/>
          <w:sz w:val="23"/>
          <w:szCs w:val="23"/>
        </w:rPr>
        <w:t>to</w:t>
      </w:r>
      <w:r w:rsidRPr="004E2C88">
        <w:rPr>
          <w:rFonts w:ascii="Arial" w:hAnsi="Arial" w:cs="Arial"/>
          <w:color w:val="000000"/>
          <w:sz w:val="23"/>
          <w:szCs w:val="23"/>
        </w:rPr>
        <w:t xml:space="preserve"> the </w:t>
      </w:r>
      <w:r w:rsidR="00DE78B6" w:rsidRPr="004E2C88">
        <w:rPr>
          <w:rFonts w:ascii="Arial" w:hAnsi="Arial" w:cs="Arial"/>
          <w:color w:val="000000"/>
          <w:sz w:val="23"/>
          <w:szCs w:val="23"/>
        </w:rPr>
        <w:t>requesting p</w:t>
      </w:r>
      <w:r w:rsidRPr="004E2C88">
        <w:rPr>
          <w:rFonts w:ascii="Arial" w:hAnsi="Arial" w:cs="Arial"/>
          <w:color w:val="000000"/>
          <w:sz w:val="23"/>
          <w:szCs w:val="23"/>
        </w:rPr>
        <w:t xml:space="preserve">rovider </w:t>
      </w:r>
      <w:r w:rsidR="00DE78B6" w:rsidRPr="004E2C88">
        <w:rPr>
          <w:rFonts w:ascii="Arial" w:hAnsi="Arial" w:cs="Arial"/>
          <w:color w:val="000000"/>
          <w:sz w:val="23"/>
          <w:szCs w:val="23"/>
        </w:rPr>
        <w:t xml:space="preserve">by </w:t>
      </w:r>
      <w:r w:rsidRPr="004E2C88">
        <w:rPr>
          <w:rFonts w:ascii="Arial" w:hAnsi="Arial" w:cs="Arial"/>
          <w:color w:val="000000"/>
          <w:sz w:val="23"/>
          <w:szCs w:val="23"/>
        </w:rPr>
        <w:t xml:space="preserve">calling </w:t>
      </w:r>
      <w:r w:rsidRPr="0027687C">
        <w:rPr>
          <w:rFonts w:ascii="Arial" w:hAnsi="Arial" w:cs="Arial"/>
          <w:b/>
          <w:color w:val="000000"/>
          <w:sz w:val="23"/>
          <w:szCs w:val="23"/>
        </w:rPr>
        <w:t>GMG Referrals Department at (210) 921-</w:t>
      </w:r>
      <w:r w:rsidR="00DE78B6" w:rsidRPr="0027687C">
        <w:rPr>
          <w:rFonts w:ascii="Arial" w:hAnsi="Arial" w:cs="Arial"/>
          <w:b/>
          <w:color w:val="000000"/>
          <w:sz w:val="23"/>
          <w:szCs w:val="23"/>
        </w:rPr>
        <w:t>3801.</w:t>
      </w:r>
      <w:r w:rsidR="00DE78B6" w:rsidRPr="004E2C88">
        <w:rPr>
          <w:rFonts w:ascii="Arial" w:hAnsi="Arial" w:cs="Arial"/>
          <w:color w:val="000000"/>
          <w:sz w:val="23"/>
          <w:szCs w:val="23"/>
        </w:rPr>
        <w:t xml:space="preserve"> A printed copy of coverage determination can be sent to the requestor by mail, fax or email upon</w:t>
      </w:r>
      <w:r w:rsidRPr="004E2C88">
        <w:rPr>
          <w:rFonts w:ascii="Arial" w:hAnsi="Arial" w:cs="Arial"/>
          <w:color w:val="000000"/>
          <w:sz w:val="23"/>
          <w:szCs w:val="23"/>
        </w:rPr>
        <w:t xml:space="preserve"> request.</w:t>
      </w:r>
    </w:p>
    <w:p w:rsidR="008F71EC" w:rsidRPr="004E2C88" w:rsidRDefault="008F71EC" w:rsidP="004E2C88">
      <w:pPr>
        <w:pStyle w:val="ListParagraph"/>
        <w:numPr>
          <w:ilvl w:val="0"/>
          <w:numId w:val="1"/>
        </w:numPr>
        <w:autoSpaceDE w:val="0"/>
        <w:autoSpaceDN w:val="0"/>
        <w:adjustRightInd w:val="0"/>
        <w:spacing w:after="180" w:line="261" w:lineRule="atLeast"/>
        <w:rPr>
          <w:rFonts w:ascii="Arial" w:hAnsi="Arial" w:cs="Arial"/>
          <w:color w:val="000000"/>
          <w:sz w:val="23"/>
          <w:szCs w:val="23"/>
        </w:rPr>
      </w:pPr>
      <w:r w:rsidRPr="004E2C88">
        <w:rPr>
          <w:rFonts w:ascii="Arial" w:hAnsi="Arial" w:cs="Arial"/>
          <w:color w:val="000000"/>
          <w:sz w:val="23"/>
          <w:szCs w:val="23"/>
        </w:rPr>
        <w:t>Ensuring that you provide the correct and complete clinical information at the correct time when requesting a medical necessity review when clinical information is needed.</w:t>
      </w:r>
    </w:p>
    <w:p w:rsidR="008F71EC" w:rsidRPr="008F71EC" w:rsidRDefault="008F71EC" w:rsidP="004E2C88">
      <w:pPr>
        <w:pStyle w:val="ListParagraph"/>
        <w:numPr>
          <w:ilvl w:val="0"/>
          <w:numId w:val="1"/>
        </w:numPr>
        <w:autoSpaceDE w:val="0"/>
        <w:autoSpaceDN w:val="0"/>
        <w:adjustRightInd w:val="0"/>
        <w:spacing w:after="180" w:line="261" w:lineRule="atLeast"/>
        <w:rPr>
          <w:rFonts w:ascii="Arial" w:hAnsi="Arial" w:cs="Arial"/>
          <w:color w:val="000000"/>
          <w:sz w:val="24"/>
          <w:szCs w:val="24"/>
        </w:rPr>
      </w:pPr>
      <w:r w:rsidRPr="004E2C88">
        <w:rPr>
          <w:rFonts w:ascii="Arial" w:hAnsi="Arial" w:cs="Arial"/>
          <w:color w:val="000000"/>
          <w:sz w:val="23"/>
          <w:szCs w:val="23"/>
        </w:rPr>
        <w:t>If the information provided does not support medical necessity, the service cannot be approved under Medicare law. Please provide the necessary information to justify the services you are requesting at the time of the request to allow for an appropriate decision to be made. Any service determined to require a clinical review will be processed in accordance with:</w:t>
      </w:r>
    </w:p>
    <w:p w:rsidR="008F71EC" w:rsidRPr="008F71EC" w:rsidRDefault="008F71EC" w:rsidP="008F71EC">
      <w:pPr>
        <w:pStyle w:val="ListParagraph"/>
        <w:numPr>
          <w:ilvl w:val="2"/>
          <w:numId w:val="1"/>
        </w:numPr>
        <w:autoSpaceDE w:val="0"/>
        <w:autoSpaceDN w:val="0"/>
        <w:adjustRightInd w:val="0"/>
        <w:spacing w:after="180" w:line="261" w:lineRule="atLeast"/>
        <w:rPr>
          <w:rFonts w:ascii="Arial" w:hAnsi="Arial" w:cs="Arial"/>
          <w:color w:val="000000"/>
          <w:sz w:val="24"/>
          <w:szCs w:val="24"/>
        </w:rPr>
      </w:pPr>
      <w:r w:rsidRPr="008F71EC">
        <w:rPr>
          <w:rFonts w:ascii="Arial" w:hAnsi="Arial" w:cs="Arial"/>
          <w:color w:val="000000"/>
          <w:sz w:val="24"/>
          <w:szCs w:val="24"/>
        </w:rPr>
        <w:t>Section 1861(a)(1)(A) of the Social Security Act, which states that Medicare payment can only be made for services/items that are medically necessary and reasonable.</w:t>
      </w:r>
    </w:p>
    <w:p w:rsidR="008F71EC" w:rsidRDefault="008F71EC" w:rsidP="007E6EE0">
      <w:pPr>
        <w:pStyle w:val="ListParagraph"/>
        <w:numPr>
          <w:ilvl w:val="2"/>
          <w:numId w:val="1"/>
        </w:numPr>
        <w:autoSpaceDE w:val="0"/>
        <w:autoSpaceDN w:val="0"/>
        <w:adjustRightInd w:val="0"/>
        <w:spacing w:after="0" w:line="261" w:lineRule="atLeast"/>
        <w:rPr>
          <w:rFonts w:ascii="Arial" w:hAnsi="Arial" w:cs="Arial"/>
          <w:color w:val="000000"/>
          <w:sz w:val="24"/>
          <w:szCs w:val="24"/>
        </w:rPr>
      </w:pPr>
      <w:r w:rsidRPr="008F71EC">
        <w:rPr>
          <w:rFonts w:ascii="Arial" w:hAnsi="Arial" w:cs="Arial"/>
          <w:color w:val="000000"/>
          <w:sz w:val="24"/>
          <w:szCs w:val="24"/>
        </w:rPr>
        <w:t>Section 1833(e) of the Social Security Act, which states that Medicare payment can be made only when the documentation supports the service/item.</w:t>
      </w:r>
    </w:p>
    <w:p w:rsidR="007E6EE0" w:rsidRPr="007E6EE0" w:rsidRDefault="007E6EE0" w:rsidP="007E6EE0">
      <w:pPr>
        <w:autoSpaceDE w:val="0"/>
        <w:autoSpaceDN w:val="0"/>
        <w:adjustRightInd w:val="0"/>
        <w:spacing w:after="0" w:line="261" w:lineRule="atLeast"/>
        <w:ind w:left="1800"/>
        <w:rPr>
          <w:rFonts w:ascii="Arial" w:hAnsi="Arial" w:cs="Arial"/>
          <w:color w:val="000000"/>
          <w:sz w:val="24"/>
          <w:szCs w:val="24"/>
        </w:rPr>
      </w:pPr>
    </w:p>
    <w:p w:rsidR="009775C9" w:rsidRPr="009775C9" w:rsidRDefault="009775C9" w:rsidP="00145356">
      <w:pPr>
        <w:pStyle w:val="Heading1"/>
      </w:pPr>
      <w:bookmarkStart w:id="19" w:name="_Toc10792067"/>
      <w:r w:rsidRPr="009775C9">
        <w:lastRenderedPageBreak/>
        <w:t>Timeliness of UM Decisions</w:t>
      </w:r>
      <w:bookmarkEnd w:id="19"/>
      <w:r w:rsidRPr="009775C9">
        <w:tab/>
      </w:r>
    </w:p>
    <w:p w:rsidR="009775C9" w:rsidRPr="009775C9" w:rsidRDefault="009775C9" w:rsidP="004E2C88">
      <w:pPr>
        <w:pStyle w:val="Style1"/>
      </w:pPr>
      <w:r w:rsidRPr="009775C9">
        <w:t>UM review decisions will be made in a -timely manner. The decision will be made as expeditiously as the enrollee’s health condition requires, but no later than the time periods outlined below. Both the determination and notification to the patient and requesting provider must occur within the defined time periods.</w:t>
      </w:r>
    </w:p>
    <w:p w:rsidR="009775C9" w:rsidRPr="009775C9" w:rsidRDefault="009775C9" w:rsidP="004E2C88">
      <w:pPr>
        <w:pStyle w:val="Style1"/>
      </w:pPr>
      <w:r w:rsidRPr="009775C9">
        <w:t>Timeframes are as follows:</w:t>
      </w:r>
    </w:p>
    <w:p w:rsidR="009775C9" w:rsidRPr="004E2C88" w:rsidRDefault="009775C9" w:rsidP="004E2C88">
      <w:pPr>
        <w:pStyle w:val="ListParagraph"/>
        <w:numPr>
          <w:ilvl w:val="0"/>
          <w:numId w:val="1"/>
        </w:numPr>
        <w:autoSpaceDE w:val="0"/>
        <w:autoSpaceDN w:val="0"/>
        <w:adjustRightInd w:val="0"/>
        <w:spacing w:after="180" w:line="261" w:lineRule="atLeast"/>
        <w:rPr>
          <w:rFonts w:ascii="Arial" w:hAnsi="Arial" w:cs="Arial"/>
          <w:color w:val="000000"/>
          <w:sz w:val="23"/>
          <w:szCs w:val="23"/>
        </w:rPr>
      </w:pPr>
      <w:r w:rsidRPr="004E2C88">
        <w:rPr>
          <w:rFonts w:ascii="Arial" w:hAnsi="Arial" w:cs="Arial"/>
          <w:color w:val="000000"/>
          <w:sz w:val="23"/>
          <w:szCs w:val="23"/>
        </w:rPr>
        <w:t>For standard, non-urgent preservice decisions, the determination must be made within 14 calendar days of receipt of the request.</w:t>
      </w:r>
    </w:p>
    <w:p w:rsidR="009775C9" w:rsidRPr="009775C9" w:rsidRDefault="009775C9" w:rsidP="004E2C88">
      <w:pPr>
        <w:pStyle w:val="ListParagraph"/>
        <w:numPr>
          <w:ilvl w:val="2"/>
          <w:numId w:val="1"/>
        </w:numPr>
        <w:autoSpaceDE w:val="0"/>
        <w:autoSpaceDN w:val="0"/>
        <w:adjustRightInd w:val="0"/>
        <w:spacing w:after="180" w:line="261" w:lineRule="atLeast"/>
        <w:rPr>
          <w:rFonts w:ascii="Arial" w:hAnsi="Arial" w:cs="Arial"/>
          <w:color w:val="000000"/>
          <w:sz w:val="24"/>
          <w:szCs w:val="24"/>
        </w:rPr>
      </w:pPr>
      <w:r w:rsidRPr="009775C9">
        <w:rPr>
          <w:rFonts w:ascii="Arial" w:hAnsi="Arial" w:cs="Arial"/>
          <w:color w:val="000000"/>
          <w:sz w:val="24"/>
          <w:szCs w:val="24"/>
        </w:rPr>
        <w:t xml:space="preserve">GMG may extend the time frame up to 14 </w:t>
      </w:r>
    </w:p>
    <w:p w:rsidR="009775C9" w:rsidRPr="009775C9" w:rsidRDefault="009775C9" w:rsidP="004E2C88">
      <w:pPr>
        <w:pStyle w:val="ListParagraph"/>
        <w:numPr>
          <w:ilvl w:val="2"/>
          <w:numId w:val="1"/>
        </w:numPr>
        <w:autoSpaceDE w:val="0"/>
        <w:autoSpaceDN w:val="0"/>
        <w:adjustRightInd w:val="0"/>
        <w:spacing w:after="180" w:line="261" w:lineRule="atLeast"/>
        <w:rPr>
          <w:rFonts w:ascii="Arial" w:hAnsi="Arial" w:cs="Arial"/>
          <w:color w:val="000000"/>
          <w:sz w:val="24"/>
          <w:szCs w:val="24"/>
        </w:rPr>
      </w:pPr>
      <w:r w:rsidRPr="009775C9">
        <w:rPr>
          <w:rFonts w:ascii="Arial" w:hAnsi="Arial" w:cs="Arial"/>
          <w:color w:val="000000"/>
          <w:sz w:val="24"/>
          <w:szCs w:val="24"/>
        </w:rPr>
        <w:t xml:space="preserve">This extension </w:t>
      </w:r>
      <w:proofErr w:type="gramStart"/>
      <w:r w:rsidRPr="009775C9">
        <w:rPr>
          <w:rFonts w:ascii="Arial" w:hAnsi="Arial" w:cs="Arial"/>
          <w:color w:val="000000"/>
          <w:sz w:val="24"/>
          <w:szCs w:val="24"/>
        </w:rPr>
        <w:t>is allowed to</w:t>
      </w:r>
      <w:proofErr w:type="gramEnd"/>
      <w:r w:rsidRPr="009775C9">
        <w:rPr>
          <w:rFonts w:ascii="Arial" w:hAnsi="Arial" w:cs="Arial"/>
          <w:color w:val="000000"/>
          <w:sz w:val="24"/>
          <w:szCs w:val="24"/>
        </w:rPr>
        <w:t xml:space="preserve"> occur if the </w:t>
      </w:r>
      <w:r>
        <w:rPr>
          <w:rFonts w:ascii="Arial" w:hAnsi="Arial" w:cs="Arial"/>
          <w:color w:val="000000"/>
          <w:sz w:val="24"/>
          <w:szCs w:val="24"/>
        </w:rPr>
        <w:t>patient</w:t>
      </w:r>
      <w:r w:rsidRPr="009775C9">
        <w:rPr>
          <w:rFonts w:ascii="Arial" w:hAnsi="Arial" w:cs="Arial"/>
          <w:color w:val="000000"/>
          <w:sz w:val="24"/>
          <w:szCs w:val="24"/>
        </w:rPr>
        <w:t xml:space="preserve"> requests the extension or if GMG justifies a need for additional information and documents how the delay is in the interest of the </w:t>
      </w:r>
      <w:r>
        <w:rPr>
          <w:rFonts w:ascii="Arial" w:hAnsi="Arial" w:cs="Arial"/>
          <w:color w:val="000000"/>
          <w:sz w:val="24"/>
          <w:szCs w:val="24"/>
        </w:rPr>
        <w:t>patient</w:t>
      </w:r>
      <w:r w:rsidRPr="009775C9">
        <w:rPr>
          <w:rFonts w:ascii="Arial" w:hAnsi="Arial" w:cs="Arial"/>
          <w:color w:val="000000"/>
          <w:sz w:val="24"/>
          <w:szCs w:val="24"/>
        </w:rPr>
        <w:t xml:space="preserve"> (for example, the receipt of additional medical evidence)</w:t>
      </w:r>
    </w:p>
    <w:p w:rsidR="009775C9" w:rsidRPr="009775C9" w:rsidRDefault="009775C9" w:rsidP="004E2C88">
      <w:pPr>
        <w:pStyle w:val="ListParagraph"/>
        <w:numPr>
          <w:ilvl w:val="2"/>
          <w:numId w:val="1"/>
        </w:numPr>
        <w:autoSpaceDE w:val="0"/>
        <w:autoSpaceDN w:val="0"/>
        <w:adjustRightInd w:val="0"/>
        <w:spacing w:after="180" w:line="261" w:lineRule="atLeast"/>
        <w:rPr>
          <w:rFonts w:ascii="Arial" w:hAnsi="Arial" w:cs="Arial"/>
          <w:color w:val="000000"/>
          <w:sz w:val="24"/>
          <w:szCs w:val="24"/>
        </w:rPr>
      </w:pPr>
      <w:r w:rsidRPr="009775C9">
        <w:rPr>
          <w:rFonts w:ascii="Arial" w:hAnsi="Arial" w:cs="Arial"/>
          <w:color w:val="000000"/>
          <w:sz w:val="24"/>
          <w:szCs w:val="24"/>
        </w:rPr>
        <w:t xml:space="preserve">GMG must notify the </w:t>
      </w:r>
      <w:r>
        <w:rPr>
          <w:rFonts w:ascii="Arial" w:hAnsi="Arial" w:cs="Arial"/>
          <w:color w:val="000000"/>
          <w:sz w:val="24"/>
          <w:szCs w:val="24"/>
        </w:rPr>
        <w:t>patient</w:t>
      </w:r>
      <w:r w:rsidRPr="009775C9">
        <w:rPr>
          <w:rFonts w:ascii="Arial" w:hAnsi="Arial" w:cs="Arial"/>
          <w:color w:val="000000"/>
          <w:sz w:val="24"/>
          <w:szCs w:val="24"/>
        </w:rPr>
        <w:t xml:space="preserve">, in writing, of the reasons for the delay, and inform the </w:t>
      </w:r>
      <w:r>
        <w:rPr>
          <w:rFonts w:ascii="Arial" w:hAnsi="Arial" w:cs="Arial"/>
          <w:color w:val="000000"/>
          <w:sz w:val="24"/>
          <w:szCs w:val="24"/>
        </w:rPr>
        <w:t>patient</w:t>
      </w:r>
      <w:r w:rsidRPr="009775C9">
        <w:rPr>
          <w:rFonts w:ascii="Arial" w:hAnsi="Arial" w:cs="Arial"/>
          <w:color w:val="000000"/>
          <w:sz w:val="24"/>
          <w:szCs w:val="24"/>
        </w:rPr>
        <w:t xml:space="preserve"> of the right to file a grievance if he or she disagrees with the decision to grant an extension.</w:t>
      </w:r>
    </w:p>
    <w:p w:rsidR="009775C9" w:rsidRPr="004E2C88" w:rsidRDefault="009775C9" w:rsidP="004E2C88">
      <w:pPr>
        <w:pStyle w:val="ListParagraph"/>
        <w:numPr>
          <w:ilvl w:val="0"/>
          <w:numId w:val="1"/>
        </w:numPr>
        <w:autoSpaceDE w:val="0"/>
        <w:autoSpaceDN w:val="0"/>
        <w:adjustRightInd w:val="0"/>
        <w:spacing w:after="180" w:line="261" w:lineRule="atLeast"/>
        <w:rPr>
          <w:rFonts w:ascii="Arial" w:hAnsi="Arial" w:cs="Arial"/>
          <w:color w:val="000000"/>
          <w:sz w:val="23"/>
          <w:szCs w:val="23"/>
        </w:rPr>
      </w:pPr>
      <w:r w:rsidRPr="004E2C88">
        <w:rPr>
          <w:rFonts w:ascii="Arial" w:hAnsi="Arial" w:cs="Arial"/>
          <w:color w:val="000000"/>
          <w:sz w:val="23"/>
          <w:szCs w:val="23"/>
        </w:rPr>
        <w:t>For expedited, urgent pre-service decisions the determination must be made within 72 hours of receipt of the request.</w:t>
      </w:r>
    </w:p>
    <w:p w:rsidR="009775C9" w:rsidRPr="009775C9" w:rsidRDefault="009775C9" w:rsidP="004E2C88">
      <w:pPr>
        <w:pStyle w:val="ListParagraph"/>
        <w:numPr>
          <w:ilvl w:val="2"/>
          <w:numId w:val="1"/>
        </w:numPr>
        <w:autoSpaceDE w:val="0"/>
        <w:autoSpaceDN w:val="0"/>
        <w:adjustRightInd w:val="0"/>
        <w:spacing w:after="180" w:line="261" w:lineRule="atLeast"/>
        <w:rPr>
          <w:rFonts w:ascii="Arial" w:hAnsi="Arial" w:cs="Arial"/>
          <w:color w:val="000000"/>
          <w:sz w:val="24"/>
          <w:szCs w:val="24"/>
        </w:rPr>
      </w:pPr>
      <w:r w:rsidRPr="009775C9">
        <w:rPr>
          <w:rFonts w:ascii="Arial" w:hAnsi="Arial" w:cs="Arial"/>
          <w:color w:val="000000"/>
          <w:sz w:val="24"/>
          <w:szCs w:val="24"/>
        </w:rPr>
        <w:t xml:space="preserve">A patient, or any physician may request an expedited determination when they believe that waiting for a decision under the standard time frame could place the patient’s life, health, or ability to regain maximum function in serious jeopardy. If unable to </w:t>
      </w:r>
      <w:proofErr w:type="gramStart"/>
      <w:r w:rsidRPr="009775C9">
        <w:rPr>
          <w:rFonts w:ascii="Arial" w:hAnsi="Arial" w:cs="Arial"/>
          <w:color w:val="000000"/>
          <w:sz w:val="24"/>
          <w:szCs w:val="24"/>
        </w:rPr>
        <w:t>make a decision</w:t>
      </w:r>
      <w:proofErr w:type="gramEnd"/>
      <w:r w:rsidRPr="009775C9">
        <w:rPr>
          <w:rFonts w:ascii="Arial" w:hAnsi="Arial" w:cs="Arial"/>
          <w:color w:val="000000"/>
          <w:sz w:val="24"/>
          <w:szCs w:val="24"/>
        </w:rPr>
        <w:t xml:space="preserve"> due to lack of necessary information, the decision can be extended once for up to 48 hours.</w:t>
      </w:r>
    </w:p>
    <w:p w:rsidR="009775C9" w:rsidRDefault="009775C9" w:rsidP="004E2C88">
      <w:pPr>
        <w:pStyle w:val="ListParagraph"/>
        <w:numPr>
          <w:ilvl w:val="2"/>
          <w:numId w:val="1"/>
        </w:numPr>
        <w:autoSpaceDE w:val="0"/>
        <w:autoSpaceDN w:val="0"/>
        <w:adjustRightInd w:val="0"/>
        <w:spacing w:after="180" w:line="261" w:lineRule="atLeast"/>
        <w:rPr>
          <w:rFonts w:ascii="Arial" w:hAnsi="Arial" w:cs="Arial"/>
          <w:color w:val="000000"/>
          <w:sz w:val="24"/>
          <w:szCs w:val="24"/>
        </w:rPr>
      </w:pPr>
      <w:r w:rsidRPr="009775C9">
        <w:rPr>
          <w:rFonts w:ascii="Arial" w:hAnsi="Arial" w:cs="Arial"/>
          <w:color w:val="000000"/>
          <w:sz w:val="24"/>
          <w:szCs w:val="24"/>
        </w:rPr>
        <w:t xml:space="preserve">GMG must notify the </w:t>
      </w:r>
      <w:r>
        <w:rPr>
          <w:rFonts w:ascii="Arial" w:hAnsi="Arial" w:cs="Arial"/>
          <w:color w:val="000000"/>
          <w:sz w:val="24"/>
          <w:szCs w:val="24"/>
        </w:rPr>
        <w:t>patient</w:t>
      </w:r>
      <w:r w:rsidRPr="009775C9">
        <w:rPr>
          <w:rFonts w:ascii="Arial" w:hAnsi="Arial" w:cs="Arial"/>
          <w:color w:val="000000"/>
          <w:sz w:val="24"/>
          <w:szCs w:val="24"/>
        </w:rPr>
        <w:t xml:space="preserve"> or their authorized representative what specific information is necessary to make the decision.</w:t>
      </w:r>
    </w:p>
    <w:p w:rsidR="00BA6D9A" w:rsidRPr="00DB433F" w:rsidRDefault="00BA6D9A" w:rsidP="004E2C88">
      <w:pPr>
        <w:pStyle w:val="ListParagraph"/>
        <w:numPr>
          <w:ilvl w:val="0"/>
          <w:numId w:val="1"/>
        </w:numPr>
        <w:autoSpaceDE w:val="0"/>
        <w:autoSpaceDN w:val="0"/>
        <w:adjustRightInd w:val="0"/>
        <w:spacing w:after="180" w:line="261" w:lineRule="atLeast"/>
        <w:rPr>
          <w:rFonts w:ascii="Arial" w:hAnsi="Arial" w:cs="Arial"/>
          <w:color w:val="000000"/>
          <w:sz w:val="23"/>
          <w:szCs w:val="23"/>
          <w:highlight w:val="cyan"/>
        </w:rPr>
      </w:pPr>
      <w:r w:rsidRPr="00DB433F">
        <w:rPr>
          <w:rFonts w:ascii="Arial" w:hAnsi="Arial" w:cs="Arial"/>
          <w:color w:val="000000"/>
          <w:sz w:val="23"/>
          <w:szCs w:val="23"/>
          <w:highlight w:val="cyan"/>
        </w:rPr>
        <w:t xml:space="preserve">Emergency </w:t>
      </w:r>
      <w:r w:rsidR="0027687C" w:rsidRPr="00DB433F">
        <w:rPr>
          <w:rFonts w:ascii="Arial" w:hAnsi="Arial" w:cs="Arial"/>
          <w:color w:val="000000"/>
          <w:sz w:val="23"/>
          <w:szCs w:val="23"/>
          <w:highlight w:val="cyan"/>
        </w:rPr>
        <w:t>Care does not require prior authorization.  Patients shall have access to emergency care, both within and outside the service area. Coverage varies according to the patients benefit plan.</w:t>
      </w:r>
    </w:p>
    <w:p w:rsidR="009775C9" w:rsidRPr="004E2C88" w:rsidRDefault="009775C9" w:rsidP="004E2C88">
      <w:pPr>
        <w:pStyle w:val="ListParagraph"/>
        <w:numPr>
          <w:ilvl w:val="0"/>
          <w:numId w:val="1"/>
        </w:numPr>
        <w:autoSpaceDE w:val="0"/>
        <w:autoSpaceDN w:val="0"/>
        <w:adjustRightInd w:val="0"/>
        <w:spacing w:after="180" w:line="261" w:lineRule="atLeast"/>
        <w:rPr>
          <w:rFonts w:ascii="Arial" w:hAnsi="Arial" w:cs="Arial"/>
          <w:color w:val="000000"/>
          <w:sz w:val="23"/>
          <w:szCs w:val="23"/>
        </w:rPr>
      </w:pPr>
      <w:r w:rsidRPr="004E2C88">
        <w:rPr>
          <w:rFonts w:ascii="Arial" w:hAnsi="Arial" w:cs="Arial"/>
          <w:color w:val="000000"/>
          <w:sz w:val="23"/>
          <w:szCs w:val="23"/>
        </w:rPr>
        <w:t>For urgent concurrent review decisions, the determination and notification (patient and requesting provider) will be made within 24 hours of receipt of the request.</w:t>
      </w:r>
    </w:p>
    <w:p w:rsidR="009775C9" w:rsidRDefault="009775C9" w:rsidP="007E6EE0">
      <w:pPr>
        <w:pStyle w:val="ListParagraph"/>
        <w:numPr>
          <w:ilvl w:val="0"/>
          <w:numId w:val="1"/>
        </w:numPr>
        <w:autoSpaceDE w:val="0"/>
        <w:autoSpaceDN w:val="0"/>
        <w:adjustRightInd w:val="0"/>
        <w:spacing w:after="0" w:line="261" w:lineRule="atLeast"/>
        <w:rPr>
          <w:rFonts w:ascii="Arial" w:hAnsi="Arial" w:cs="Arial"/>
          <w:color w:val="000000"/>
          <w:sz w:val="23"/>
          <w:szCs w:val="23"/>
        </w:rPr>
      </w:pPr>
      <w:r w:rsidRPr="004E2C88">
        <w:rPr>
          <w:rFonts w:ascii="Arial" w:hAnsi="Arial" w:cs="Arial"/>
          <w:color w:val="000000"/>
          <w:sz w:val="23"/>
          <w:szCs w:val="23"/>
        </w:rPr>
        <w:t>For post service/retrospective decisions the determination and notification (patient and requesting provider) will be made within 30 days of receipt of the request.</w:t>
      </w:r>
    </w:p>
    <w:p w:rsidR="006365EA" w:rsidRPr="007E6EE0" w:rsidRDefault="006365EA" w:rsidP="00145356">
      <w:pPr>
        <w:pStyle w:val="Heading1"/>
      </w:pPr>
      <w:bookmarkStart w:id="20" w:name="_Toc10792068"/>
      <w:r w:rsidRPr="007E6EE0">
        <w:t>Denials/Unfavorable UM Determinations</w:t>
      </w:r>
      <w:bookmarkEnd w:id="20"/>
      <w:r w:rsidRPr="007E6EE0">
        <w:tab/>
      </w:r>
    </w:p>
    <w:p w:rsidR="006365EA" w:rsidRDefault="006365EA" w:rsidP="006365EA">
      <w:pPr>
        <w:rPr>
          <w:rFonts w:ascii="Arial" w:hAnsi="Arial" w:cs="Arial"/>
          <w:color w:val="000000"/>
          <w:sz w:val="24"/>
          <w:szCs w:val="24"/>
        </w:rPr>
      </w:pPr>
      <w:r w:rsidRPr="004E2C88">
        <w:rPr>
          <w:rStyle w:val="Style1Char"/>
        </w:rPr>
        <w:t xml:space="preserve">GMG gives </w:t>
      </w:r>
      <w:r w:rsidR="006568EB" w:rsidRPr="004E2C88">
        <w:rPr>
          <w:rStyle w:val="Style1Char"/>
        </w:rPr>
        <w:t xml:space="preserve">requesting service </w:t>
      </w:r>
      <w:r w:rsidRPr="004E2C88">
        <w:rPr>
          <w:rStyle w:val="Style1Char"/>
        </w:rPr>
        <w:t xml:space="preserve">practitioners the opportunity to discuss UM denial decisions with an appropriate reviewer: senior physician, other appropriate reviewer, behavioral healthcare reviewer or pharmacist reviewer. The Referral staff is responsible to document in the record that practitioners are provided the opportunity to discuss UM denial determinations with an appropriate reviewer. Contact information of the reviewing provider </w:t>
      </w:r>
      <w:r w:rsidR="006568EB" w:rsidRPr="004E2C88">
        <w:rPr>
          <w:rStyle w:val="Style1Char"/>
        </w:rPr>
        <w:t>will</w:t>
      </w:r>
      <w:r w:rsidRPr="004E2C88">
        <w:rPr>
          <w:rStyle w:val="Style1Char"/>
        </w:rPr>
        <w:t xml:space="preserve"> be provided</w:t>
      </w:r>
      <w:r w:rsidR="006568EB" w:rsidRPr="004E2C88">
        <w:rPr>
          <w:rStyle w:val="Style1Char"/>
        </w:rPr>
        <w:t xml:space="preserve"> upon request for denial review discussion or a “peer to peer” discussion</w:t>
      </w:r>
      <w:r w:rsidRPr="004E2C88">
        <w:rPr>
          <w:rStyle w:val="Style1Char"/>
        </w:rPr>
        <w:t>. This applies to non-BH, BH (Behavioral Healthcare), and Pharmacy reviews</w:t>
      </w:r>
      <w:r w:rsidRPr="006365EA">
        <w:rPr>
          <w:rFonts w:ascii="Arial" w:hAnsi="Arial" w:cs="Arial"/>
          <w:color w:val="000000"/>
          <w:sz w:val="24"/>
          <w:szCs w:val="24"/>
        </w:rPr>
        <w:t>.</w:t>
      </w:r>
    </w:p>
    <w:p w:rsidR="000F5374" w:rsidRDefault="000F5374" w:rsidP="006365EA">
      <w:pPr>
        <w:rPr>
          <w:rFonts w:ascii="Arial" w:hAnsi="Arial" w:cs="Arial"/>
          <w:color w:val="000000"/>
          <w:sz w:val="24"/>
          <w:szCs w:val="24"/>
        </w:rPr>
      </w:pPr>
    </w:p>
    <w:sectPr w:rsidR="000F53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E34" w:rsidRDefault="00910E34">
      <w:pPr>
        <w:spacing w:after="0" w:line="240" w:lineRule="auto"/>
      </w:pPr>
      <w:r>
        <w:separator/>
      </w:r>
    </w:p>
  </w:endnote>
  <w:endnote w:type="continuationSeparator" w:id="0">
    <w:p w:rsidR="00910E34" w:rsidRDefault="0091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935565"/>
      <w:docPartObj>
        <w:docPartGallery w:val="Page Numbers (Bottom of Page)"/>
        <w:docPartUnique/>
      </w:docPartObj>
    </w:sdtPr>
    <w:sdtEndPr>
      <w:rPr>
        <w:noProof/>
      </w:rPr>
    </w:sdtEndPr>
    <w:sdtContent>
      <w:p w:rsidR="00521444" w:rsidRDefault="00521444">
        <w:pPr>
          <w:pStyle w:val="Footer"/>
        </w:pPr>
        <w:r>
          <w:fldChar w:fldCharType="begin"/>
        </w:r>
        <w:r>
          <w:instrText xml:space="preserve"> PAGE   \* MERGEFORMAT </w:instrText>
        </w:r>
        <w:r>
          <w:fldChar w:fldCharType="separate"/>
        </w:r>
        <w:r>
          <w:rPr>
            <w:noProof/>
          </w:rPr>
          <w:t>2</w:t>
        </w:r>
        <w:r>
          <w:rPr>
            <w:noProof/>
          </w:rPr>
          <w:fldChar w:fldCharType="end"/>
        </w:r>
      </w:p>
    </w:sdtContent>
  </w:sdt>
  <w:p w:rsidR="00521444" w:rsidRDefault="00521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E34" w:rsidRDefault="00910E34">
      <w:pPr>
        <w:spacing w:after="0" w:line="240" w:lineRule="auto"/>
      </w:pPr>
      <w:r>
        <w:separator/>
      </w:r>
    </w:p>
  </w:footnote>
  <w:footnote w:type="continuationSeparator" w:id="0">
    <w:p w:rsidR="00910E34" w:rsidRDefault="0091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434" w:rsidRDefault="00974434" w:rsidP="00974434">
    <w:pPr>
      <w:pStyle w:val="Header"/>
      <w:jc w:val="center"/>
    </w:pPr>
    <w:r>
      <w:rPr>
        <w:noProof/>
      </w:rPr>
      <w:drawing>
        <wp:inline distT="0" distB="0" distL="0" distR="0">
          <wp:extent cx="3590925" cy="990600"/>
          <wp:effectExtent l="0" t="0" r="9525" b="0"/>
          <wp:docPr id="1" name="Picture 1" descr="Gonzab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nzaba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2AF455"/>
    <w:multiLevelType w:val="hybridMultilevel"/>
    <w:tmpl w:val="296C86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9667D5"/>
    <w:multiLevelType w:val="hybridMultilevel"/>
    <w:tmpl w:val="544E8F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D477C"/>
    <w:multiLevelType w:val="hybridMultilevel"/>
    <w:tmpl w:val="6B9244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8B0F1"/>
    <w:multiLevelType w:val="hybridMultilevel"/>
    <w:tmpl w:val="4D4B25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5A"/>
    <w:rsid w:val="00012AD5"/>
    <w:rsid w:val="00037AA9"/>
    <w:rsid w:val="00086A9D"/>
    <w:rsid w:val="000A1557"/>
    <w:rsid w:val="000B583A"/>
    <w:rsid w:val="000F5374"/>
    <w:rsid w:val="00145356"/>
    <w:rsid w:val="001706AB"/>
    <w:rsid w:val="001B1EC2"/>
    <w:rsid w:val="001B7D76"/>
    <w:rsid w:val="0027687C"/>
    <w:rsid w:val="00334D4B"/>
    <w:rsid w:val="00392F5A"/>
    <w:rsid w:val="0041546A"/>
    <w:rsid w:val="004222A6"/>
    <w:rsid w:val="004350B5"/>
    <w:rsid w:val="004437A6"/>
    <w:rsid w:val="00460513"/>
    <w:rsid w:val="004643EC"/>
    <w:rsid w:val="004C17F9"/>
    <w:rsid w:val="004D495B"/>
    <w:rsid w:val="004D57DD"/>
    <w:rsid w:val="004E2C88"/>
    <w:rsid w:val="0050706A"/>
    <w:rsid w:val="00521444"/>
    <w:rsid w:val="005266A4"/>
    <w:rsid w:val="005520F0"/>
    <w:rsid w:val="00557A50"/>
    <w:rsid w:val="005C76EF"/>
    <w:rsid w:val="006365EA"/>
    <w:rsid w:val="00636C38"/>
    <w:rsid w:val="006568EB"/>
    <w:rsid w:val="006C2336"/>
    <w:rsid w:val="00705B7A"/>
    <w:rsid w:val="007D379D"/>
    <w:rsid w:val="007E4F22"/>
    <w:rsid w:val="007E6EE0"/>
    <w:rsid w:val="0084370E"/>
    <w:rsid w:val="008707FB"/>
    <w:rsid w:val="00870F3A"/>
    <w:rsid w:val="0087178B"/>
    <w:rsid w:val="00893B6C"/>
    <w:rsid w:val="008A2B41"/>
    <w:rsid w:val="008C4670"/>
    <w:rsid w:val="008F71EC"/>
    <w:rsid w:val="00910E34"/>
    <w:rsid w:val="00911E21"/>
    <w:rsid w:val="00916281"/>
    <w:rsid w:val="00974434"/>
    <w:rsid w:val="009775C9"/>
    <w:rsid w:val="009D49E1"/>
    <w:rsid w:val="00A1761E"/>
    <w:rsid w:val="00A34902"/>
    <w:rsid w:val="00A83000"/>
    <w:rsid w:val="00A86B83"/>
    <w:rsid w:val="00A9437F"/>
    <w:rsid w:val="00AB7B48"/>
    <w:rsid w:val="00AE4BA7"/>
    <w:rsid w:val="00B67257"/>
    <w:rsid w:val="00B71EF2"/>
    <w:rsid w:val="00BA6D9A"/>
    <w:rsid w:val="00BE71C8"/>
    <w:rsid w:val="00C06570"/>
    <w:rsid w:val="00C23AFC"/>
    <w:rsid w:val="00C86F92"/>
    <w:rsid w:val="00C93CAE"/>
    <w:rsid w:val="00CC09FB"/>
    <w:rsid w:val="00D421C7"/>
    <w:rsid w:val="00DB31EF"/>
    <w:rsid w:val="00DB433F"/>
    <w:rsid w:val="00DC663E"/>
    <w:rsid w:val="00DE02EE"/>
    <w:rsid w:val="00DE78B6"/>
    <w:rsid w:val="00E87B93"/>
    <w:rsid w:val="00EB14C5"/>
    <w:rsid w:val="00EE5760"/>
    <w:rsid w:val="00F25414"/>
    <w:rsid w:val="00F60A22"/>
    <w:rsid w:val="00F848E9"/>
    <w:rsid w:val="00FC2733"/>
    <w:rsid w:val="00FD0E9D"/>
    <w:rsid w:val="00FE7DE3"/>
    <w:rsid w:val="00FF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DBF006-D211-44B5-B324-1F6353C9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B7A"/>
  </w:style>
  <w:style w:type="paragraph" w:styleId="Heading1">
    <w:name w:val="heading 1"/>
    <w:basedOn w:val="Normal"/>
    <w:next w:val="Normal"/>
    <w:link w:val="Heading1Char"/>
    <w:uiPriority w:val="9"/>
    <w:qFormat/>
    <w:rsid w:val="004154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392F5A"/>
    <w:pPr>
      <w:autoSpaceDE w:val="0"/>
      <w:autoSpaceDN w:val="0"/>
      <w:adjustRightInd w:val="0"/>
      <w:spacing w:after="0" w:line="240" w:lineRule="auto"/>
    </w:pPr>
    <w:rPr>
      <w:rFonts w:ascii="Gill Sans MT" w:hAnsi="Gill Sans MT" w:cs="Gill Sans MT"/>
      <w:color w:val="000000"/>
      <w:sz w:val="24"/>
      <w:szCs w:val="24"/>
    </w:rPr>
  </w:style>
  <w:style w:type="paragraph" w:customStyle="1" w:styleId="Pa5">
    <w:name w:val="Pa5"/>
    <w:basedOn w:val="Default"/>
    <w:next w:val="Default"/>
    <w:link w:val="Pa5Char"/>
    <w:uiPriority w:val="99"/>
    <w:rsid w:val="00392F5A"/>
    <w:pPr>
      <w:spacing w:line="261" w:lineRule="atLeast"/>
    </w:pPr>
    <w:rPr>
      <w:rFonts w:cstheme="minorBidi"/>
      <w:color w:val="auto"/>
    </w:rPr>
  </w:style>
  <w:style w:type="paragraph" w:customStyle="1" w:styleId="Pa6">
    <w:name w:val="Pa6"/>
    <w:basedOn w:val="Default"/>
    <w:next w:val="Default"/>
    <w:link w:val="Pa6Char"/>
    <w:uiPriority w:val="99"/>
    <w:rsid w:val="00392F5A"/>
    <w:pPr>
      <w:spacing w:line="241" w:lineRule="atLeast"/>
    </w:pPr>
    <w:rPr>
      <w:rFonts w:cstheme="minorBidi"/>
      <w:color w:val="auto"/>
    </w:rPr>
  </w:style>
  <w:style w:type="character" w:customStyle="1" w:styleId="A3">
    <w:name w:val="A3"/>
    <w:uiPriority w:val="99"/>
    <w:rsid w:val="00392F5A"/>
    <w:rPr>
      <w:rFonts w:cs="Gill Sans MT"/>
      <w:b/>
      <w:bCs/>
      <w:color w:val="000000"/>
      <w:u w:val="single"/>
    </w:rPr>
  </w:style>
  <w:style w:type="paragraph" w:styleId="ListParagraph">
    <w:name w:val="List Paragraph"/>
    <w:basedOn w:val="Normal"/>
    <w:uiPriority w:val="1"/>
    <w:qFormat/>
    <w:rsid w:val="000A1557"/>
    <w:pPr>
      <w:ind w:left="720"/>
      <w:contextualSpacing/>
    </w:pPr>
  </w:style>
  <w:style w:type="paragraph" w:customStyle="1" w:styleId="Pa7">
    <w:name w:val="Pa7"/>
    <w:basedOn w:val="Default"/>
    <w:next w:val="Default"/>
    <w:uiPriority w:val="99"/>
    <w:rsid w:val="00FE7DE3"/>
    <w:pPr>
      <w:spacing w:line="261" w:lineRule="atLeast"/>
    </w:pPr>
    <w:rPr>
      <w:rFonts w:cstheme="minorBidi"/>
      <w:color w:val="auto"/>
    </w:rPr>
  </w:style>
  <w:style w:type="character" w:customStyle="1" w:styleId="A4">
    <w:name w:val="A4"/>
    <w:uiPriority w:val="99"/>
    <w:rsid w:val="007E4F22"/>
    <w:rPr>
      <w:rFonts w:cs="Gill Sans MT"/>
      <w:color w:val="000000"/>
    </w:rPr>
  </w:style>
  <w:style w:type="paragraph" w:customStyle="1" w:styleId="Pa0">
    <w:name w:val="Pa0"/>
    <w:basedOn w:val="Default"/>
    <w:next w:val="Default"/>
    <w:uiPriority w:val="99"/>
    <w:rsid w:val="007E4F22"/>
    <w:pPr>
      <w:spacing w:line="241" w:lineRule="atLeast"/>
    </w:pPr>
    <w:rPr>
      <w:rFonts w:cstheme="minorBidi"/>
      <w:color w:val="auto"/>
    </w:rPr>
  </w:style>
  <w:style w:type="paragraph" w:customStyle="1" w:styleId="Pa19">
    <w:name w:val="Pa19"/>
    <w:basedOn w:val="Default"/>
    <w:next w:val="Default"/>
    <w:uiPriority w:val="99"/>
    <w:rsid w:val="004350B5"/>
    <w:pPr>
      <w:spacing w:line="261" w:lineRule="atLeast"/>
    </w:pPr>
    <w:rPr>
      <w:rFonts w:cstheme="minorBidi"/>
      <w:color w:val="auto"/>
    </w:rPr>
  </w:style>
  <w:style w:type="character" w:customStyle="1" w:styleId="A11">
    <w:name w:val="A11"/>
    <w:uiPriority w:val="99"/>
    <w:rsid w:val="004350B5"/>
    <w:rPr>
      <w:rFonts w:cs="Gill Sans MT"/>
      <w:b/>
      <w:bCs/>
      <w:color w:val="000000"/>
      <w:sz w:val="26"/>
      <w:szCs w:val="26"/>
      <w:u w:val="single"/>
    </w:rPr>
  </w:style>
  <w:style w:type="paragraph" w:customStyle="1" w:styleId="Pa4">
    <w:name w:val="Pa4"/>
    <w:basedOn w:val="Default"/>
    <w:next w:val="Default"/>
    <w:uiPriority w:val="99"/>
    <w:rsid w:val="00D421C7"/>
    <w:pPr>
      <w:spacing w:line="261" w:lineRule="atLeast"/>
    </w:pPr>
    <w:rPr>
      <w:rFonts w:cstheme="minorBidi"/>
      <w:color w:val="auto"/>
    </w:rPr>
  </w:style>
  <w:style w:type="character" w:styleId="Hyperlink">
    <w:name w:val="Hyperlink"/>
    <w:basedOn w:val="DefaultParagraphFont"/>
    <w:uiPriority w:val="99"/>
    <w:unhideWhenUsed/>
    <w:rsid w:val="00D421C7"/>
    <w:rPr>
      <w:color w:val="0000FF" w:themeColor="hyperlink"/>
      <w:u w:val="single"/>
    </w:rPr>
  </w:style>
  <w:style w:type="paragraph" w:customStyle="1" w:styleId="Pa24">
    <w:name w:val="Pa24"/>
    <w:basedOn w:val="Default"/>
    <w:next w:val="Default"/>
    <w:uiPriority w:val="99"/>
    <w:rsid w:val="00D421C7"/>
    <w:pPr>
      <w:spacing w:line="241" w:lineRule="atLeast"/>
    </w:pPr>
    <w:rPr>
      <w:rFonts w:cstheme="minorBidi"/>
      <w:color w:val="auto"/>
    </w:rPr>
  </w:style>
  <w:style w:type="paragraph" w:customStyle="1" w:styleId="Pa3">
    <w:name w:val="Pa3"/>
    <w:basedOn w:val="Default"/>
    <w:next w:val="Default"/>
    <w:uiPriority w:val="99"/>
    <w:rsid w:val="00911E21"/>
    <w:pPr>
      <w:spacing w:line="241" w:lineRule="atLeast"/>
    </w:pPr>
    <w:rPr>
      <w:rFonts w:cstheme="minorBidi"/>
      <w:color w:val="auto"/>
    </w:rPr>
  </w:style>
  <w:style w:type="paragraph" w:styleId="BodyText">
    <w:name w:val="Body Text"/>
    <w:basedOn w:val="Normal"/>
    <w:link w:val="BodyTextChar"/>
    <w:uiPriority w:val="1"/>
    <w:qFormat/>
    <w:rsid w:val="009775C9"/>
    <w:pPr>
      <w:widowControl w:val="0"/>
      <w:autoSpaceDE w:val="0"/>
      <w:autoSpaceDN w:val="0"/>
      <w:spacing w:after="0" w:line="240" w:lineRule="auto"/>
    </w:pPr>
    <w:rPr>
      <w:rFonts w:ascii="Tw Cen MT" w:eastAsia="Tw Cen MT" w:hAnsi="Tw Cen MT" w:cs="Tw Cen MT"/>
    </w:rPr>
  </w:style>
  <w:style w:type="character" w:customStyle="1" w:styleId="BodyTextChar">
    <w:name w:val="Body Text Char"/>
    <w:basedOn w:val="DefaultParagraphFont"/>
    <w:link w:val="BodyText"/>
    <w:uiPriority w:val="1"/>
    <w:rsid w:val="009775C9"/>
    <w:rPr>
      <w:rFonts w:ascii="Tw Cen MT" w:eastAsia="Tw Cen MT" w:hAnsi="Tw Cen MT" w:cs="Tw Cen MT"/>
    </w:rPr>
  </w:style>
  <w:style w:type="character" w:customStyle="1" w:styleId="Heading1Char">
    <w:name w:val="Heading 1 Char"/>
    <w:basedOn w:val="DefaultParagraphFont"/>
    <w:link w:val="Heading1"/>
    <w:uiPriority w:val="9"/>
    <w:rsid w:val="0041546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1546A"/>
    <w:pPr>
      <w:spacing w:line="259" w:lineRule="auto"/>
      <w:outlineLvl w:val="9"/>
    </w:pPr>
  </w:style>
  <w:style w:type="paragraph" w:customStyle="1" w:styleId="Heading">
    <w:name w:val="Heading"/>
    <w:basedOn w:val="Pa5"/>
    <w:link w:val="HeadingChar"/>
    <w:qFormat/>
    <w:rsid w:val="0041546A"/>
    <w:pPr>
      <w:ind w:left="90"/>
    </w:pPr>
    <w:rPr>
      <w:rFonts w:ascii="Arial" w:hAnsi="Arial" w:cs="Arial"/>
      <w:b/>
      <w:color w:val="000000"/>
    </w:rPr>
  </w:style>
  <w:style w:type="paragraph" w:customStyle="1" w:styleId="Style1">
    <w:name w:val="Style1"/>
    <w:basedOn w:val="Pa6"/>
    <w:link w:val="Style1Char"/>
    <w:qFormat/>
    <w:rsid w:val="00705B7A"/>
    <w:pPr>
      <w:ind w:left="90" w:right="620"/>
      <w:jc w:val="both"/>
    </w:pPr>
    <w:rPr>
      <w:rFonts w:ascii="Arial" w:hAnsi="Arial" w:cs="Arial"/>
      <w:color w:val="000000"/>
      <w:sz w:val="23"/>
      <w:szCs w:val="23"/>
    </w:rPr>
  </w:style>
  <w:style w:type="character" w:customStyle="1" w:styleId="DefaultChar">
    <w:name w:val="Default Char"/>
    <w:basedOn w:val="DefaultParagraphFont"/>
    <w:link w:val="Default"/>
    <w:rsid w:val="0041546A"/>
    <w:rPr>
      <w:rFonts w:ascii="Gill Sans MT" w:hAnsi="Gill Sans MT" w:cs="Gill Sans MT"/>
      <w:color w:val="000000"/>
      <w:sz w:val="24"/>
      <w:szCs w:val="24"/>
    </w:rPr>
  </w:style>
  <w:style w:type="character" w:customStyle="1" w:styleId="Pa5Char">
    <w:name w:val="Pa5 Char"/>
    <w:basedOn w:val="DefaultChar"/>
    <w:link w:val="Pa5"/>
    <w:uiPriority w:val="99"/>
    <w:rsid w:val="0041546A"/>
    <w:rPr>
      <w:rFonts w:ascii="Gill Sans MT" w:hAnsi="Gill Sans MT" w:cs="Gill Sans MT"/>
      <w:color w:val="000000"/>
      <w:sz w:val="24"/>
      <w:szCs w:val="24"/>
    </w:rPr>
  </w:style>
  <w:style w:type="character" w:customStyle="1" w:styleId="HeadingChar">
    <w:name w:val="Heading Char"/>
    <w:basedOn w:val="Pa5Char"/>
    <w:link w:val="Heading"/>
    <w:rsid w:val="0041546A"/>
    <w:rPr>
      <w:rFonts w:ascii="Arial" w:hAnsi="Arial" w:cs="Arial"/>
      <w:b/>
      <w:color w:val="000000"/>
      <w:sz w:val="24"/>
      <w:szCs w:val="24"/>
    </w:rPr>
  </w:style>
  <w:style w:type="character" w:customStyle="1" w:styleId="Pa6Char">
    <w:name w:val="Pa6 Char"/>
    <w:basedOn w:val="DefaultChar"/>
    <w:link w:val="Pa6"/>
    <w:uiPriority w:val="99"/>
    <w:rsid w:val="00705B7A"/>
    <w:rPr>
      <w:rFonts w:ascii="Gill Sans MT" w:hAnsi="Gill Sans MT" w:cs="Gill Sans MT"/>
      <w:color w:val="000000"/>
      <w:sz w:val="24"/>
      <w:szCs w:val="24"/>
    </w:rPr>
  </w:style>
  <w:style w:type="character" w:customStyle="1" w:styleId="Style1Char">
    <w:name w:val="Style1 Char"/>
    <w:basedOn w:val="Pa6Char"/>
    <w:link w:val="Style1"/>
    <w:rsid w:val="00705B7A"/>
    <w:rPr>
      <w:rFonts w:ascii="Arial" w:hAnsi="Arial" w:cs="Arial"/>
      <w:color w:val="000000"/>
      <w:sz w:val="23"/>
      <w:szCs w:val="23"/>
    </w:rPr>
  </w:style>
  <w:style w:type="paragraph" w:styleId="Header">
    <w:name w:val="header"/>
    <w:basedOn w:val="Normal"/>
    <w:link w:val="HeaderChar"/>
    <w:uiPriority w:val="99"/>
    <w:unhideWhenUsed/>
    <w:rsid w:val="0097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434"/>
  </w:style>
  <w:style w:type="paragraph" w:styleId="Footer">
    <w:name w:val="footer"/>
    <w:basedOn w:val="Normal"/>
    <w:link w:val="FooterChar"/>
    <w:uiPriority w:val="99"/>
    <w:unhideWhenUsed/>
    <w:rsid w:val="0097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434"/>
  </w:style>
  <w:style w:type="paragraph" w:styleId="TOC1">
    <w:name w:val="toc 1"/>
    <w:basedOn w:val="Normal"/>
    <w:next w:val="Normal"/>
    <w:autoRedefine/>
    <w:uiPriority w:val="39"/>
    <w:unhideWhenUsed/>
    <w:rsid w:val="00145356"/>
    <w:pPr>
      <w:spacing w:after="100"/>
    </w:pPr>
  </w:style>
  <w:style w:type="character" w:styleId="UnresolvedMention">
    <w:name w:val="Unresolved Mention"/>
    <w:basedOn w:val="DefaultParagraphFont"/>
    <w:uiPriority w:val="99"/>
    <w:semiHidden/>
    <w:unhideWhenUsed/>
    <w:rsid w:val="00BA6D9A"/>
    <w:rPr>
      <w:color w:val="808080"/>
      <w:shd w:val="clear" w:color="auto" w:fill="E6E6E6"/>
    </w:rPr>
  </w:style>
  <w:style w:type="paragraph" w:styleId="BalloonText">
    <w:name w:val="Balloon Text"/>
    <w:basedOn w:val="Normal"/>
    <w:link w:val="BalloonTextChar"/>
    <w:uiPriority w:val="99"/>
    <w:semiHidden/>
    <w:unhideWhenUsed/>
    <w:rsid w:val="005C7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59E6-A594-48A8-8C86-B3B75A97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3678</Words>
  <Characters>20967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Unger</dc:creator>
  <cp:lastModifiedBy>Cynthia Zent</cp:lastModifiedBy>
  <cp:revision>3</cp:revision>
  <cp:lastPrinted>2019-05-23T15:00:00Z</cp:lastPrinted>
  <dcterms:created xsi:type="dcterms:W3CDTF">2019-06-07T14:26:00Z</dcterms:created>
  <dcterms:modified xsi:type="dcterms:W3CDTF">2019-06-07T14:27:00Z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-405706042</vt:i4>
  </property>
</Properties>
</file>